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79E15">
      <w:pPr>
        <w:jc w:val="center"/>
        <w:rPr>
          <w:rFonts w:eastAsia="Calibri" w:cs="Calibri"/>
          <w:b/>
          <w:color w:val="FF0000"/>
          <w:sz w:val="28"/>
        </w:rPr>
      </w:pPr>
      <w:r>
        <w:rPr>
          <w:rFonts w:ascii="宋体" w:cs="宋体"/>
          <w:b/>
          <w:sz w:val="36"/>
        </w:rPr>
        <w:t>重庆市两江职业教育中心</w:t>
      </w:r>
      <w:r>
        <w:rPr>
          <w:rFonts w:hint="eastAsia" w:ascii="宋体" w:cs="宋体"/>
          <w:b/>
          <w:sz w:val="36"/>
        </w:rPr>
        <w:t>教学</w:t>
      </w:r>
      <w:r>
        <w:rPr>
          <w:rFonts w:ascii="宋体" w:cs="宋体"/>
          <w:b/>
          <w:sz w:val="36"/>
        </w:rPr>
        <w:t>教案</w:t>
      </w:r>
    </w:p>
    <w:tbl>
      <w:tblPr>
        <w:tblStyle w:val="2"/>
        <w:tblW w:w="10020" w:type="dxa"/>
        <w:tblInd w:w="0" w:type="dxa"/>
        <w:tblLayout w:type="fixed"/>
        <w:tblCellMar>
          <w:top w:w="0" w:type="dxa"/>
          <w:left w:w="10" w:type="dxa"/>
          <w:bottom w:w="0" w:type="dxa"/>
          <w:right w:w="10" w:type="dxa"/>
        </w:tblCellMar>
      </w:tblPr>
      <w:tblGrid>
        <w:gridCol w:w="1520"/>
        <w:gridCol w:w="1967"/>
        <w:gridCol w:w="1050"/>
        <w:gridCol w:w="2452"/>
        <w:gridCol w:w="836"/>
        <w:gridCol w:w="2195"/>
      </w:tblGrid>
      <w:tr w14:paraId="505C3CCE">
        <w:tblPrEx>
          <w:tblCellMar>
            <w:top w:w="0" w:type="dxa"/>
            <w:left w:w="10" w:type="dxa"/>
            <w:bottom w:w="0" w:type="dxa"/>
            <w:right w:w="10" w:type="dxa"/>
          </w:tblCellMar>
        </w:tblPrEx>
        <w:trPr>
          <w:trHeight w:val="927"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B7840D3">
            <w:pPr>
              <w:jc w:val="center"/>
              <w:rPr>
                <w:b/>
              </w:rPr>
            </w:pPr>
            <w:r>
              <w:rPr>
                <w:rFonts w:ascii="宋体" w:cs="宋体"/>
                <w:b/>
                <w:sz w:val="28"/>
              </w:rPr>
              <w:t>课题</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F5BDD81">
            <w:pPr>
              <w:jc w:val="center"/>
            </w:pPr>
            <w:r>
              <w:rPr>
                <w:rFonts w:hint="eastAsia" w:ascii="Times New Roman" w:hAnsi="Times New Roman"/>
                <w:sz w:val="24"/>
                <w:szCs w:val="24"/>
                <w:lang w:val="en-US" w:eastAsia="zh-CN"/>
              </w:rPr>
              <w:t>操作车站计算机系统</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24D8BA3">
            <w:pPr>
              <w:jc w:val="center"/>
              <w:rPr>
                <w:b/>
              </w:rPr>
            </w:pPr>
            <w:r>
              <w:rPr>
                <w:rFonts w:ascii="宋体" w:cs="宋体"/>
                <w:b/>
                <w:sz w:val="28"/>
              </w:rPr>
              <w:t>班级</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3F2A3A9"/>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E7D741E">
            <w:pPr>
              <w:jc w:val="center"/>
              <w:rPr>
                <w:b/>
              </w:rPr>
            </w:pPr>
            <w:r>
              <w:rPr>
                <w:rFonts w:ascii="宋体" w:cs="宋体"/>
                <w:b/>
                <w:sz w:val="28"/>
              </w:rPr>
              <w:t>教师</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3DDC880D">
            <w:pPr>
              <w:jc w:val="center"/>
              <w:rPr>
                <w:rFonts w:ascii="宋体" w:cs="宋体"/>
              </w:rPr>
            </w:pPr>
          </w:p>
        </w:tc>
      </w:tr>
      <w:tr w14:paraId="5951CA2D">
        <w:tblPrEx>
          <w:tblCellMar>
            <w:top w:w="0" w:type="dxa"/>
            <w:left w:w="10" w:type="dxa"/>
            <w:bottom w:w="0" w:type="dxa"/>
            <w:right w:w="10" w:type="dxa"/>
          </w:tblCellMar>
        </w:tblPrEx>
        <w:trPr>
          <w:trHeight w:val="136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D957BC1">
            <w:pPr>
              <w:jc w:val="center"/>
              <w:rPr>
                <w:b/>
              </w:rPr>
            </w:pPr>
            <w:r>
              <w:rPr>
                <w:rFonts w:ascii="宋体" w:cs="宋体"/>
                <w:b/>
                <w:sz w:val="28"/>
              </w:rPr>
              <w:t>课型</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B9A1E8">
            <w:pPr>
              <w:jc w:val="center"/>
            </w:pPr>
            <w:r>
              <w:rPr>
                <w:rFonts w:ascii="Times New Roman" w:hAnsi="Times New Roman"/>
                <w:sz w:val="24"/>
                <w:szCs w:val="24"/>
              </w:rPr>
              <w:t>新授课</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E8538CA">
            <w:pPr>
              <w:jc w:val="center"/>
              <w:rPr>
                <w:b/>
              </w:rPr>
            </w:pPr>
            <w:r>
              <w:rPr>
                <w:rFonts w:ascii="宋体" w:cs="宋体"/>
                <w:b/>
                <w:sz w:val="28"/>
              </w:rPr>
              <w:t>课时</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BDD5A53">
            <w:pPr>
              <w:jc w:val="left"/>
              <w:rPr>
                <w:rFonts w:ascii="Times New Roman" w:hAnsi="Times New Roman"/>
                <w:sz w:val="24"/>
                <w:szCs w:val="24"/>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周</w:t>
            </w:r>
          </w:p>
          <w:p w14:paraId="11C99913">
            <w:pPr>
              <w:jc w:val="left"/>
              <w:rPr>
                <w:rFonts w:ascii="宋体" w:cs="宋体"/>
                <w:sz w:val="28"/>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课时</w:t>
            </w:r>
          </w:p>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F9D80DE">
            <w:pPr>
              <w:jc w:val="center"/>
              <w:rPr>
                <w:rFonts w:ascii="宋体" w:cs="宋体"/>
                <w:b/>
                <w:sz w:val="28"/>
              </w:rPr>
            </w:pPr>
            <w:r>
              <w:rPr>
                <w:rFonts w:hint="eastAsia" w:ascii="宋体" w:cs="宋体"/>
                <w:b/>
                <w:sz w:val="28"/>
              </w:rPr>
              <w:t>上课</w:t>
            </w:r>
          </w:p>
          <w:p w14:paraId="2F64384E">
            <w:pPr>
              <w:jc w:val="center"/>
              <w:rPr>
                <w:b/>
              </w:rPr>
            </w:pPr>
            <w:r>
              <w:rPr>
                <w:rFonts w:ascii="宋体" w:cs="宋体"/>
                <w:b/>
                <w:sz w:val="28"/>
              </w:rPr>
              <w:t>时间</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415AF40F">
            <w:pPr>
              <w:jc w:val="center"/>
              <w:rPr>
                <w:b/>
                <w:sz w:val="28"/>
                <w:szCs w:val="28"/>
              </w:rPr>
            </w:pPr>
          </w:p>
        </w:tc>
      </w:tr>
      <w:tr w14:paraId="23EBA0EC">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31C5FB50">
            <w:pPr>
              <w:jc w:val="center"/>
              <w:rPr>
                <w:rFonts w:ascii="宋体" w:cs="宋体"/>
                <w:b/>
                <w:sz w:val="28"/>
              </w:rPr>
            </w:pPr>
            <w:r>
              <w:rPr>
                <w:rFonts w:hint="eastAsia" w:ascii="宋体" w:cs="宋体"/>
                <w:b/>
                <w:sz w:val="28"/>
              </w:rPr>
              <w:t>学情分析</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346F32C">
            <w:pPr>
              <w:spacing w:line="360" w:lineRule="auto"/>
              <w:jc w:val="left"/>
              <w:rPr>
                <w:rFonts w:hint="eastAsia" w:ascii="宋体" w:hAnsi="宋体" w:eastAsia="宋体" w:cs="宋体"/>
                <w:sz w:val="24"/>
                <w:szCs w:val="24"/>
              </w:rPr>
            </w:pPr>
            <w:r>
              <w:rPr>
                <w:rFonts w:hint="eastAsia" w:ascii="宋体" w:hAnsi="宋体" w:eastAsia="宋体" w:cs="宋体"/>
                <w:sz w:val="24"/>
                <w:szCs w:val="24"/>
              </w:rPr>
              <w:t>学生已具备一定的理论知识基础，但对车站计算机系统的认知多停留在概念层面。日常乘坐地铁虽接触过相关设备服务，却不了解车站计算机系统如何整合硬件、软件、网络实现设备监控、票务管理等复杂功能。学生思维活跃，对系统架构及智能化管理功能充满兴趣。</w:t>
            </w:r>
          </w:p>
        </w:tc>
      </w:tr>
      <w:tr w14:paraId="5496B940">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1895195">
            <w:pPr>
              <w:jc w:val="center"/>
              <w:rPr>
                <w:rFonts w:ascii="宋体" w:cs="宋体"/>
                <w:b/>
                <w:sz w:val="28"/>
              </w:rPr>
            </w:pPr>
            <w:r>
              <w:rPr>
                <w:rFonts w:hint="eastAsia" w:ascii="宋体" w:cs="宋体"/>
                <w:b/>
                <w:sz w:val="28"/>
              </w:rPr>
              <w:t>课程思政</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624BAEFA">
            <w:pPr>
              <w:spacing w:line="360" w:lineRule="auto"/>
              <w:jc w:val="left"/>
              <w:rPr>
                <w:rFonts w:hint="eastAsia" w:ascii="宋体" w:hAnsi="宋体" w:eastAsia="宋体" w:cs="宋体"/>
                <w:sz w:val="24"/>
                <w:szCs w:val="24"/>
              </w:rPr>
            </w:pPr>
            <w:r>
              <w:rPr>
                <w:rFonts w:hint="eastAsia" w:ascii="宋体" w:hAnsi="宋体" w:eastAsia="宋体" w:cs="宋体"/>
                <w:sz w:val="24"/>
                <w:szCs w:val="24"/>
              </w:rPr>
              <w:t>1.培养责任心和严谨的工作态度。</w:t>
            </w:r>
          </w:p>
          <w:p w14:paraId="3EE5FD8D">
            <w:pPr>
              <w:spacing w:line="360" w:lineRule="auto"/>
              <w:jc w:val="left"/>
              <w:rPr>
                <w:rFonts w:hint="eastAsia" w:ascii="宋体" w:hAnsi="宋体" w:eastAsia="宋体" w:cs="宋体"/>
                <w:sz w:val="24"/>
                <w:szCs w:val="24"/>
              </w:rPr>
            </w:pPr>
            <w:r>
              <w:rPr>
                <w:rFonts w:hint="eastAsia" w:ascii="宋体" w:hAnsi="宋体" w:eastAsia="宋体" w:cs="宋体"/>
                <w:sz w:val="24"/>
                <w:szCs w:val="24"/>
              </w:rPr>
              <w:t>2.强化团队合作意识。</w:t>
            </w:r>
          </w:p>
          <w:p w14:paraId="5EE30A3F">
            <w:pPr>
              <w:spacing w:line="360" w:lineRule="auto"/>
              <w:jc w:val="left"/>
              <w:rPr>
                <w:rFonts w:hint="eastAsia" w:ascii="宋体" w:hAnsi="宋体" w:eastAsia="宋体" w:cs="宋体"/>
                <w:sz w:val="24"/>
                <w:szCs w:val="24"/>
              </w:rPr>
            </w:pPr>
            <w:r>
              <w:rPr>
                <w:rFonts w:hint="eastAsia" w:ascii="宋体" w:hAnsi="宋体" w:eastAsia="宋体" w:cs="宋体"/>
                <w:sz w:val="24"/>
                <w:szCs w:val="24"/>
              </w:rPr>
              <w:t>3.提高安全意识。</w:t>
            </w:r>
          </w:p>
        </w:tc>
      </w:tr>
      <w:tr w14:paraId="53A13ED7">
        <w:tblPrEx>
          <w:tblCellMar>
            <w:top w:w="0" w:type="dxa"/>
            <w:left w:w="10" w:type="dxa"/>
            <w:bottom w:w="0" w:type="dxa"/>
            <w:right w:w="10" w:type="dxa"/>
          </w:tblCellMar>
        </w:tblPrEx>
        <w:trPr>
          <w:trHeight w:val="1376"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54DA531">
            <w:pPr>
              <w:jc w:val="center"/>
              <w:rPr>
                <w:rFonts w:ascii="宋体"/>
                <w:b/>
              </w:rPr>
            </w:pPr>
            <w:r>
              <w:rPr>
                <w:rFonts w:ascii="宋体" w:cs="宋体"/>
                <w:b/>
                <w:sz w:val="28"/>
              </w:rPr>
              <w:t>教学目标</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5432B53E">
            <w:pPr>
              <w:spacing w:line="360" w:lineRule="auto"/>
              <w:jc w:val="left"/>
              <w:rPr>
                <w:rFonts w:hint="eastAsia" w:ascii="Times New Roman" w:hAnsi="Times New Roman"/>
                <w:sz w:val="24"/>
                <w:szCs w:val="24"/>
              </w:rPr>
            </w:pPr>
            <w:r>
              <w:rPr>
                <w:rFonts w:hint="eastAsia" w:ascii="Times New Roman" w:hAnsi="Times New Roman"/>
                <w:sz w:val="24"/>
                <w:szCs w:val="24"/>
              </w:rPr>
              <w:t>知识目标：</w:t>
            </w:r>
          </w:p>
          <w:p w14:paraId="5528E05D">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1.了解车站计算机系统。</w:t>
            </w:r>
          </w:p>
          <w:p w14:paraId="2B8B5062">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2.理解车站计算机系统基本架构。</w:t>
            </w:r>
          </w:p>
          <w:p w14:paraId="1DB7CEE6">
            <w:pPr>
              <w:spacing w:line="360" w:lineRule="auto"/>
              <w:jc w:val="left"/>
              <w:rPr>
                <w:rFonts w:hint="default" w:ascii="Times New Roman" w:hAnsi="Times New Roman"/>
                <w:sz w:val="24"/>
                <w:szCs w:val="24"/>
                <w:lang w:val="en-US"/>
              </w:rPr>
            </w:pPr>
            <w:r>
              <w:rPr>
                <w:rFonts w:hint="eastAsia" w:ascii="Times New Roman" w:hAnsi="Times New Roman"/>
                <w:sz w:val="24"/>
                <w:szCs w:val="24"/>
                <w:lang w:val="en-US" w:eastAsia="zh-CN"/>
              </w:rPr>
              <w:t>3.熟悉车站计算机系统主要设备。</w:t>
            </w:r>
          </w:p>
          <w:p w14:paraId="1A89CF0A">
            <w:pPr>
              <w:spacing w:line="360" w:lineRule="auto"/>
              <w:jc w:val="left"/>
              <w:rPr>
                <w:rFonts w:hint="eastAsia" w:ascii="Times New Roman" w:hAnsi="Times New Roman"/>
                <w:sz w:val="24"/>
                <w:szCs w:val="24"/>
              </w:rPr>
            </w:pPr>
            <w:r>
              <w:rPr>
                <w:rFonts w:hint="eastAsia" w:ascii="Times New Roman" w:hAnsi="Times New Roman"/>
                <w:sz w:val="24"/>
                <w:szCs w:val="24"/>
              </w:rPr>
              <w:t>能力目标：</w:t>
            </w:r>
          </w:p>
          <w:p w14:paraId="6E8853FF">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1.能够描述车站计算机系统的主要功能。</w:t>
            </w:r>
          </w:p>
          <w:p w14:paraId="0D772CF5">
            <w:pPr>
              <w:spacing w:line="360" w:lineRule="auto"/>
              <w:jc w:val="left"/>
              <w:rPr>
                <w:rFonts w:hint="eastAsia" w:ascii="宋体" w:hAnsi="宋体" w:cs="楷体"/>
                <w:sz w:val="24"/>
              </w:rPr>
            </w:pPr>
            <w:r>
              <w:rPr>
                <w:rFonts w:hint="eastAsia" w:ascii="Times New Roman" w:hAnsi="Times New Roman"/>
                <w:sz w:val="24"/>
                <w:szCs w:val="24"/>
                <w:lang w:val="en-US" w:eastAsia="zh-CN"/>
              </w:rPr>
              <w:t>2.能够对车站计算机系统进行基础操作。</w:t>
            </w:r>
          </w:p>
        </w:tc>
      </w:tr>
      <w:tr w14:paraId="483EBB59">
        <w:tblPrEx>
          <w:tblCellMar>
            <w:top w:w="0" w:type="dxa"/>
            <w:left w:w="10" w:type="dxa"/>
            <w:bottom w:w="0" w:type="dxa"/>
            <w:right w:w="10" w:type="dxa"/>
          </w:tblCellMar>
        </w:tblPrEx>
        <w:trPr>
          <w:trHeight w:val="398"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BF4A295">
            <w:pPr>
              <w:jc w:val="center"/>
              <w:rPr>
                <w:rFonts w:ascii="宋体" w:cs="宋体"/>
                <w:b/>
                <w:sz w:val="28"/>
              </w:rPr>
            </w:pPr>
            <w:r>
              <w:rPr>
                <w:rFonts w:ascii="宋体" w:cs="宋体"/>
                <w:b/>
                <w:sz w:val="28"/>
              </w:rPr>
              <w:t>教学</w:t>
            </w:r>
            <w:r>
              <w:rPr>
                <w:rFonts w:hint="eastAsia" w:ascii="宋体" w:cs="宋体"/>
                <w:b/>
                <w:sz w:val="28"/>
              </w:rPr>
              <w:t>重</w:t>
            </w:r>
          </w:p>
          <w:p w14:paraId="230E2C9C">
            <w:pPr>
              <w:jc w:val="center"/>
              <w:rPr>
                <w:rFonts w:ascii="宋体" w:cs="宋体"/>
                <w:b/>
                <w:sz w:val="28"/>
              </w:rPr>
            </w:pPr>
            <w:r>
              <w:rPr>
                <w:rFonts w:hint="eastAsia" w:ascii="宋体" w:cs="宋体"/>
                <w:b/>
                <w:sz w:val="28"/>
              </w:rPr>
              <w:t>难点</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1D22786">
            <w:pPr>
              <w:spacing w:line="360" w:lineRule="auto"/>
              <w:rPr>
                <w:rFonts w:ascii="Times New Roman" w:hAnsi="Times New Roman"/>
                <w:bCs/>
                <w:sz w:val="24"/>
                <w:szCs w:val="24"/>
              </w:rPr>
            </w:pPr>
            <w:r>
              <w:rPr>
                <w:rFonts w:hint="eastAsia" w:ascii="Times New Roman" w:hAnsi="Times New Roman"/>
                <w:bCs/>
                <w:sz w:val="24"/>
                <w:szCs w:val="24"/>
              </w:rPr>
              <w:t>1.</w:t>
            </w:r>
            <w:r>
              <w:rPr>
                <w:rFonts w:hint="eastAsia" w:ascii="Times New Roman" w:hAnsi="Times New Roman"/>
                <w:sz w:val="24"/>
                <w:szCs w:val="24"/>
                <w:lang w:val="en-US" w:eastAsia="zh-CN"/>
              </w:rPr>
              <w:t>车站计算机系统概述、基本架构和主要设备</w:t>
            </w:r>
            <w:r>
              <w:rPr>
                <w:rFonts w:hint="eastAsia" w:ascii="Times New Roman" w:hAnsi="Times New Roman"/>
                <w:bCs/>
                <w:sz w:val="24"/>
                <w:szCs w:val="24"/>
              </w:rPr>
              <w:t>。</w:t>
            </w:r>
          </w:p>
          <w:p w14:paraId="1FFDF061">
            <w:pPr>
              <w:spacing w:line="360" w:lineRule="auto"/>
              <w:rPr>
                <w:rFonts w:hint="default" w:ascii="Times New Roman" w:hAnsi="Times New Roman" w:eastAsia="宋体"/>
                <w:bCs/>
                <w:sz w:val="24"/>
                <w:szCs w:val="24"/>
                <w:lang w:val="en-US" w:eastAsia="zh-CN"/>
              </w:rPr>
            </w:pPr>
            <w:r>
              <w:rPr>
                <w:rFonts w:hint="eastAsia" w:ascii="Times New Roman" w:hAnsi="Times New Roman"/>
                <w:bCs/>
                <w:sz w:val="24"/>
                <w:szCs w:val="24"/>
              </w:rPr>
              <w:t>2.</w:t>
            </w:r>
            <w:r>
              <w:rPr>
                <w:rFonts w:hint="eastAsia" w:ascii="Times New Roman" w:hAnsi="Times New Roman"/>
                <w:sz w:val="24"/>
                <w:szCs w:val="24"/>
                <w:lang w:val="en-US" w:eastAsia="zh-CN"/>
              </w:rPr>
              <w:t>对车站计算机系统进行基础操作。</w:t>
            </w:r>
          </w:p>
        </w:tc>
      </w:tr>
      <w:tr w14:paraId="0D4C2EAB">
        <w:tblPrEx>
          <w:tblCellMar>
            <w:top w:w="0" w:type="dxa"/>
            <w:left w:w="10" w:type="dxa"/>
            <w:bottom w:w="0" w:type="dxa"/>
            <w:right w:w="10" w:type="dxa"/>
          </w:tblCellMar>
        </w:tblPrEx>
        <w:trPr>
          <w:trHeight w:val="432"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9A616C8">
            <w:pPr>
              <w:jc w:val="center"/>
              <w:rPr>
                <w:rFonts w:ascii="宋体" w:cs="宋体"/>
                <w:b/>
              </w:rPr>
            </w:pPr>
            <w:r>
              <w:rPr>
                <w:rFonts w:ascii="宋体" w:cs="宋体"/>
                <w:b/>
                <w:sz w:val="28"/>
              </w:rPr>
              <w:t>教学方法</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3C4BB24">
            <w:r>
              <w:rPr>
                <w:rFonts w:hint="eastAsia" w:ascii="Times New Roman" w:hAnsi="Times New Roman"/>
                <w:bCs/>
                <w:sz w:val="24"/>
                <w:szCs w:val="24"/>
              </w:rPr>
              <w:t>讲授法、互动问答法</w:t>
            </w:r>
          </w:p>
        </w:tc>
      </w:tr>
      <w:tr w14:paraId="1A35DB38">
        <w:tblPrEx>
          <w:tblCellMar>
            <w:top w:w="0" w:type="dxa"/>
            <w:left w:w="10" w:type="dxa"/>
            <w:bottom w:w="0" w:type="dxa"/>
            <w:right w:w="10" w:type="dxa"/>
          </w:tblCellMar>
        </w:tblPrEx>
        <w:trPr>
          <w:trHeight w:val="591"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EA720C0">
            <w:pPr>
              <w:jc w:val="center"/>
              <w:rPr>
                <w:rFonts w:ascii="宋体" w:cs="宋体"/>
                <w:b/>
                <w:sz w:val="28"/>
              </w:rPr>
            </w:pPr>
            <w:r>
              <w:rPr>
                <w:rFonts w:hint="eastAsia" w:ascii="宋体" w:cs="宋体"/>
                <w:b/>
                <w:sz w:val="28"/>
              </w:rPr>
              <w:t>教学媒体</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CA03C4B">
            <w:r>
              <w:rPr>
                <w:rFonts w:ascii="Times New Roman" w:hAnsi="Times New Roman"/>
                <w:sz w:val="24"/>
                <w:szCs w:val="24"/>
              </w:rPr>
              <w:t>多媒体</w:t>
            </w:r>
          </w:p>
        </w:tc>
      </w:tr>
      <w:tr w14:paraId="5353A8A0">
        <w:tblPrEx>
          <w:tblCellMar>
            <w:top w:w="0" w:type="dxa"/>
            <w:left w:w="10" w:type="dxa"/>
            <w:bottom w:w="0" w:type="dxa"/>
            <w:right w:w="10" w:type="dxa"/>
          </w:tblCellMar>
        </w:tblPrEx>
        <w:trPr>
          <w:trHeight w:val="390" w:hRule="atLeast"/>
        </w:trPr>
        <w:tc>
          <w:tcPr>
            <w:tcW w:w="10020" w:type="dxa"/>
            <w:gridSpan w:val="6"/>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F27C23F">
            <w:pPr>
              <w:jc w:val="center"/>
              <w:rPr>
                <w:rFonts w:ascii="宋体" w:cs="宋体"/>
              </w:rPr>
            </w:pPr>
            <w:r>
              <w:rPr>
                <w:rFonts w:ascii="宋体" w:cs="宋体"/>
                <w:b/>
                <w:sz w:val="28"/>
              </w:rPr>
              <w:t>教学过程</w:t>
            </w:r>
          </w:p>
        </w:tc>
      </w:tr>
      <w:tr w14:paraId="0A834541">
        <w:tblPrEx>
          <w:tblCellMar>
            <w:top w:w="0" w:type="dxa"/>
            <w:left w:w="10" w:type="dxa"/>
            <w:bottom w:w="0" w:type="dxa"/>
            <w:right w:w="10" w:type="dxa"/>
          </w:tblCellMar>
        </w:tblPrEx>
        <w:trPr>
          <w:trHeight w:val="254" w:hRule="atLeast"/>
        </w:trPr>
        <w:tc>
          <w:tcPr>
            <w:tcW w:w="1520" w:type="dxa"/>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vAlign w:val="center"/>
          </w:tcPr>
          <w:p w14:paraId="4B78F5BD">
            <w:pPr>
              <w:jc w:val="center"/>
              <w:rPr>
                <w:rFonts w:ascii="宋体" w:cs="宋体"/>
                <w:b/>
                <w:sz w:val="28"/>
              </w:rPr>
            </w:pPr>
            <w:r>
              <w:rPr>
                <w:rFonts w:hint="eastAsia" w:ascii="宋体" w:cs="宋体"/>
                <w:b/>
                <w:sz w:val="28"/>
              </w:rPr>
              <w:t>课前准备</w:t>
            </w:r>
          </w:p>
        </w:tc>
        <w:tc>
          <w:tcPr>
            <w:tcW w:w="8500" w:type="dxa"/>
            <w:gridSpan w:val="5"/>
            <w:tcBorders>
              <w:top w:val="single" w:color="auto" w:sz="4" w:space="0"/>
              <w:left w:val="single" w:color="auto" w:sz="4" w:space="0"/>
              <w:bottom w:val="single" w:color="000000" w:sz="4" w:space="0"/>
              <w:right w:val="single" w:color="000000" w:sz="4" w:space="0"/>
            </w:tcBorders>
            <w:shd w:val="clear" w:color="000000" w:fill="FFFFFF"/>
            <w:vAlign w:val="center"/>
          </w:tcPr>
          <w:p w14:paraId="7A7837E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1.教师做好教学准备，包括课件、教学视频等，调试多媒体</w:t>
            </w:r>
          </w:p>
          <w:p w14:paraId="20E1E812">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2.</w:t>
            </w:r>
            <w:r>
              <w:rPr>
                <w:rFonts w:hint="eastAsia" w:ascii="宋体" w:hAnsi="宋体" w:cs="楷体"/>
                <w:sz w:val="24"/>
                <w:lang w:val="en-US" w:eastAsia="zh-CN"/>
              </w:rPr>
              <w:t>教师准备好实训设备：车站计算机系统、现金若干、车票若干、相关清单和登记表。</w:t>
            </w:r>
          </w:p>
          <w:p w14:paraId="7105E7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ascii="宋体" w:cs="宋体"/>
                <w:b/>
                <w:sz w:val="28"/>
              </w:rPr>
            </w:pPr>
            <w:r>
              <w:rPr>
                <w:rFonts w:hint="eastAsia" w:ascii="宋体" w:hAnsi="宋体" w:cs="楷体"/>
                <w:sz w:val="24"/>
                <w:lang w:val="en-US" w:eastAsia="zh-CN"/>
              </w:rPr>
              <w:t>3.</w:t>
            </w:r>
            <w:r>
              <w:rPr>
                <w:rFonts w:hint="eastAsia" w:ascii="宋体" w:hAnsi="宋体" w:cs="楷体"/>
                <w:sz w:val="24"/>
              </w:rPr>
              <w:t>告知学生预习本次课</w:t>
            </w:r>
            <w:r>
              <w:rPr>
                <w:rFonts w:ascii="宋体" w:hAnsi="宋体" w:cs="楷体"/>
                <w:sz w:val="24"/>
              </w:rPr>
              <w:t>的相关</w:t>
            </w:r>
            <w:r>
              <w:rPr>
                <w:rFonts w:hint="eastAsia" w:ascii="宋体" w:hAnsi="宋体" w:cs="楷体"/>
                <w:sz w:val="24"/>
              </w:rPr>
              <w:t>内容</w:t>
            </w:r>
          </w:p>
        </w:tc>
      </w:tr>
      <w:tr w14:paraId="4C63475D">
        <w:tblPrEx>
          <w:tblCellMar>
            <w:top w:w="0" w:type="dxa"/>
            <w:left w:w="10" w:type="dxa"/>
            <w:bottom w:w="0" w:type="dxa"/>
            <w:right w:w="10" w:type="dxa"/>
          </w:tblCellMar>
        </w:tblPrEx>
        <w:trPr>
          <w:trHeight w:val="153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9048B3A">
            <w:pPr>
              <w:rPr>
                <w:rFonts w:ascii="宋体" w:cs="宋体"/>
                <w:b/>
                <w:sz w:val="28"/>
              </w:rPr>
            </w:pPr>
            <w:r>
              <w:rPr>
                <w:rFonts w:ascii="宋体" w:cs="宋体"/>
                <w:b/>
                <w:sz w:val="28"/>
              </w:rPr>
              <w:t>教学环节</w:t>
            </w:r>
            <w:r>
              <w:rPr>
                <w:rFonts w:ascii="宋体" w:cs="宋体"/>
                <w:b/>
                <w:sz w:val="22"/>
              </w:rPr>
              <w:t>（时间分配）</w:t>
            </w:r>
          </w:p>
        </w:tc>
        <w:tc>
          <w:tcPr>
            <w:tcW w:w="3017" w:type="dxa"/>
            <w:gridSpan w:val="2"/>
            <w:tcBorders>
              <w:top w:val="single" w:color="auto" w:sz="4" w:space="0"/>
              <w:left w:val="single" w:color="000000" w:sz="4" w:space="0"/>
              <w:bottom w:val="single" w:color="auto" w:sz="4" w:space="0"/>
              <w:right w:val="single" w:color="auto" w:sz="4" w:space="0"/>
            </w:tcBorders>
            <w:shd w:val="clear" w:color="000000" w:fill="FFFFFF"/>
            <w:tcMar>
              <w:left w:w="108" w:type="dxa"/>
              <w:right w:w="108" w:type="dxa"/>
            </w:tcMar>
            <w:vAlign w:val="center"/>
          </w:tcPr>
          <w:p w14:paraId="6E5E2E3F">
            <w:pPr>
              <w:jc w:val="center"/>
              <w:rPr>
                <w:rFonts w:ascii="宋体" w:cs="宋体"/>
                <w:b/>
                <w:sz w:val="28"/>
              </w:rPr>
            </w:pPr>
            <w:r>
              <w:rPr>
                <w:rFonts w:hint="eastAsia" w:ascii="宋体" w:cs="宋体"/>
                <w:b/>
                <w:sz w:val="28"/>
              </w:rPr>
              <w:t>教学内容及要点</w:t>
            </w:r>
          </w:p>
        </w:tc>
        <w:tc>
          <w:tcPr>
            <w:tcW w:w="2452" w:type="dxa"/>
            <w:tcBorders>
              <w:top w:val="single" w:color="auto" w:sz="4" w:space="0"/>
              <w:left w:val="single" w:color="auto" w:sz="4" w:space="0"/>
              <w:bottom w:val="single" w:color="000000" w:sz="4" w:space="0"/>
              <w:right w:val="single" w:color="000000" w:sz="4" w:space="0"/>
            </w:tcBorders>
            <w:shd w:val="clear" w:color="000000" w:fill="FFFFFF"/>
            <w:vAlign w:val="center"/>
          </w:tcPr>
          <w:p w14:paraId="2E212298">
            <w:pPr>
              <w:jc w:val="center"/>
              <w:rPr>
                <w:rFonts w:ascii="宋体" w:cs="宋体"/>
                <w:b/>
                <w:sz w:val="28"/>
              </w:rPr>
            </w:pPr>
            <w:r>
              <w:rPr>
                <w:rFonts w:hint="eastAsia" w:ascii="宋体" w:cs="宋体"/>
                <w:b/>
                <w:sz w:val="28"/>
              </w:rPr>
              <w:t>师生双边活动</w:t>
            </w: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838F6DD">
            <w:pPr>
              <w:rPr>
                <w:rFonts w:ascii="宋体" w:cs="宋体"/>
                <w:b/>
                <w:sz w:val="28"/>
              </w:rPr>
            </w:pPr>
            <w:r>
              <w:rPr>
                <w:rFonts w:ascii="宋体" w:cs="宋体"/>
                <w:b/>
                <w:sz w:val="28"/>
              </w:rPr>
              <w:t>设计意图</w:t>
            </w:r>
          </w:p>
        </w:tc>
      </w:tr>
      <w:tr w14:paraId="5F97D279">
        <w:tblPrEx>
          <w:tblCellMar>
            <w:top w:w="0" w:type="dxa"/>
            <w:left w:w="10" w:type="dxa"/>
            <w:bottom w:w="0" w:type="dxa"/>
            <w:right w:w="10" w:type="dxa"/>
          </w:tblCellMar>
        </w:tblPrEx>
        <w:trPr>
          <w:trHeight w:val="784"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17B594C7">
            <w:pPr>
              <w:ind w:firstLine="141" w:firstLineChars="50"/>
              <w:jc w:val="center"/>
              <w:rPr>
                <w:rFonts w:ascii="宋体" w:cs="宋体"/>
                <w:b/>
                <w:sz w:val="28"/>
              </w:rPr>
            </w:pPr>
            <w:r>
              <w:rPr>
                <w:rFonts w:ascii="宋体" w:cs="宋体"/>
                <w:b/>
                <w:sz w:val="28"/>
              </w:rPr>
              <w:t>导</w:t>
            </w:r>
          </w:p>
          <w:p w14:paraId="2C194F8A">
            <w:pPr>
              <w:ind w:firstLine="141" w:firstLineChars="50"/>
              <w:jc w:val="center"/>
            </w:pPr>
            <w:r>
              <w:rPr>
                <w:rFonts w:ascii="宋体" w:cs="宋体"/>
                <w:b/>
                <w:sz w:val="28"/>
              </w:rPr>
              <w:t>入</w:t>
            </w:r>
          </w:p>
        </w:tc>
        <w:tc>
          <w:tcPr>
            <w:tcW w:w="3017" w:type="dxa"/>
            <w:gridSpan w:val="2"/>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tcPr>
          <w:p w14:paraId="200A684E">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通过展示车站计算机系统的工作视频或图片。</w:t>
            </w:r>
          </w:p>
        </w:tc>
        <w:tc>
          <w:tcPr>
            <w:tcW w:w="2452" w:type="dxa"/>
            <w:tcBorders>
              <w:top w:val="single" w:color="000000" w:sz="4" w:space="0"/>
              <w:left w:val="single" w:color="auto" w:sz="4" w:space="0"/>
              <w:bottom w:val="single" w:color="000000" w:sz="4" w:space="0"/>
              <w:right w:val="single" w:color="000000" w:sz="4" w:space="0"/>
            </w:tcBorders>
            <w:shd w:val="clear" w:color="000000" w:fill="FFFFFF"/>
          </w:tcPr>
          <w:p w14:paraId="7BA0B40F">
            <w:pPr>
              <w:rPr>
                <w:rFonts w:ascii="宋体" w:cs="宋体"/>
                <w:sz w:val="22"/>
              </w:rPr>
            </w:pPr>
            <w:r>
              <w:rPr>
                <w:rFonts w:ascii="Times New Roman" w:hAnsi="Times New Roman"/>
                <w:sz w:val="24"/>
                <w:szCs w:val="24"/>
              </w:rPr>
              <w:t>学生思考后，教师补充</w:t>
            </w:r>
          </w:p>
          <w:p w14:paraId="5F2892F1">
            <w:pPr>
              <w:rPr>
                <w:rFonts w:ascii="宋体" w:cs="宋体"/>
                <w:sz w:val="22"/>
              </w:rPr>
            </w:pP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549E7FC0">
            <w:pPr>
              <w:spacing w:line="379" w:lineRule="auto"/>
              <w:rPr>
                <w:rFonts w:ascii="Times New Roman" w:hAnsi="Times New Roman"/>
                <w:sz w:val="24"/>
              </w:rPr>
            </w:pPr>
            <w:r>
              <w:rPr>
                <w:rFonts w:hint="eastAsia" w:ascii="Times New Roman" w:hAnsi="Times New Roman"/>
                <w:sz w:val="24"/>
                <w:lang w:val="en-US" w:eastAsia="zh-CN"/>
              </w:rPr>
              <w:t>通过观看</w:t>
            </w:r>
            <w:r>
              <w:rPr>
                <w:rFonts w:hint="eastAsia" w:ascii="Times New Roman" w:hAnsi="Times New Roman"/>
                <w:bCs/>
                <w:sz w:val="24"/>
                <w:szCs w:val="24"/>
                <w:lang w:eastAsia="zh-CN"/>
              </w:rPr>
              <w:t>视频或图片，引发学生的好奇心和学习兴趣</w:t>
            </w:r>
            <w:r>
              <w:rPr>
                <w:rFonts w:hint="eastAsia" w:ascii="Times New Roman" w:hAnsi="Times New Roman"/>
                <w:sz w:val="24"/>
              </w:rPr>
              <w:t>。</w:t>
            </w:r>
          </w:p>
        </w:tc>
      </w:tr>
    </w:tbl>
    <w:tbl>
      <w:tblPr>
        <w:tblStyle w:val="3"/>
        <w:tblW w:w="10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9"/>
        <w:gridCol w:w="5479"/>
        <w:gridCol w:w="1521"/>
        <w:gridCol w:w="1522"/>
      </w:tblGrid>
      <w:tr w14:paraId="44B6E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1509" w:type="dxa"/>
            <w:vMerge w:val="restart"/>
            <w:shd w:val="clear" w:color="auto" w:fill="FFFFFF" w:themeFill="background1"/>
          </w:tcPr>
          <w:p w14:paraId="5E72511C">
            <w:pPr>
              <w:jc w:val="center"/>
              <w:rPr>
                <w:rFonts w:ascii="宋体" w:cs="宋体"/>
                <w:b/>
                <w:sz w:val="28"/>
              </w:rPr>
            </w:pPr>
            <w:r>
              <w:rPr>
                <w:rFonts w:hint="eastAsia" w:ascii="宋体" w:cs="宋体"/>
                <w:b/>
                <w:sz w:val="28"/>
              </w:rPr>
              <w:t>教</w:t>
            </w:r>
          </w:p>
          <w:p w14:paraId="629E8140">
            <w:pPr>
              <w:rPr>
                <w:rFonts w:hint="eastAsia" w:ascii="宋体" w:cs="宋体"/>
                <w:b/>
                <w:sz w:val="28"/>
              </w:rPr>
            </w:pPr>
          </w:p>
          <w:p w14:paraId="75D16B88">
            <w:pPr>
              <w:jc w:val="center"/>
              <w:rPr>
                <w:rFonts w:cs="Calibri"/>
                <w:b/>
                <w:sz w:val="28"/>
              </w:rPr>
            </w:pPr>
            <w:r>
              <w:rPr>
                <w:rFonts w:hint="eastAsia" w:ascii="宋体" w:cs="宋体"/>
                <w:b/>
                <w:sz w:val="28"/>
              </w:rPr>
              <w:t>学</w:t>
            </w:r>
          </w:p>
          <w:p w14:paraId="7E174733">
            <w:pPr>
              <w:rPr>
                <w:rFonts w:ascii="宋体" w:cs="Calibri"/>
                <w:b/>
                <w:sz w:val="28"/>
              </w:rPr>
            </w:pPr>
          </w:p>
          <w:p w14:paraId="5E136709">
            <w:pPr>
              <w:jc w:val="center"/>
              <w:rPr>
                <w:rFonts w:cs="Calibri"/>
                <w:b/>
                <w:sz w:val="28"/>
              </w:rPr>
            </w:pPr>
            <w:r>
              <w:rPr>
                <w:rFonts w:hint="eastAsia" w:ascii="宋体" w:cs="Calibri"/>
                <w:b/>
                <w:sz w:val="28"/>
              </w:rPr>
              <w:t>过</w:t>
            </w:r>
          </w:p>
          <w:p w14:paraId="2964B9AF">
            <w:pPr>
              <w:jc w:val="center"/>
              <w:rPr>
                <w:rFonts w:ascii="宋体" w:cs="宋体"/>
                <w:b/>
                <w:sz w:val="28"/>
              </w:rPr>
            </w:pPr>
          </w:p>
          <w:p w14:paraId="18343A41">
            <w:pPr>
              <w:jc w:val="center"/>
              <w:rPr>
                <w:rFonts w:ascii="宋体" w:cs="宋体"/>
                <w:b/>
                <w:sz w:val="28"/>
              </w:rPr>
            </w:pPr>
            <w:r>
              <w:rPr>
                <w:rFonts w:hint="eastAsia" w:ascii="宋体" w:cs="宋体"/>
                <w:b/>
                <w:sz w:val="28"/>
              </w:rPr>
              <w:t>程</w:t>
            </w:r>
          </w:p>
          <w:p w14:paraId="1E9EEC24">
            <w:pPr>
              <w:rPr>
                <w:color w:val="auto"/>
              </w:rPr>
            </w:pPr>
          </w:p>
        </w:tc>
        <w:tc>
          <w:tcPr>
            <w:tcW w:w="5479" w:type="dxa"/>
            <w:shd w:val="clear" w:color="auto" w:fill="FFFFFF" w:themeFill="background1"/>
            <w:vAlign w:val="top"/>
          </w:tcPr>
          <w:p w14:paraId="407D8E7A">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default" w:ascii="宋体" w:hAnsi="宋体" w:eastAsia="宋体" w:cs="宋体"/>
                <w:bCs/>
                <w:color w:val="auto"/>
                <w:kern w:val="2"/>
                <w:sz w:val="24"/>
                <w:szCs w:val="24"/>
                <w:lang w:val="en-US" w:eastAsia="zh-CN" w:bidi="ar-SA"/>
              </w:rPr>
            </w:pPr>
            <w:r>
              <w:rPr>
                <w:rFonts w:hint="eastAsia" w:ascii="宋体" w:hAnsi="宋体" w:cs="宋体"/>
                <w:bCs/>
                <w:color w:val="auto"/>
                <w:kern w:val="2"/>
                <w:sz w:val="24"/>
                <w:szCs w:val="24"/>
                <w:lang w:val="en-US" w:eastAsia="zh-CN" w:bidi="ar-SA"/>
              </w:rPr>
              <w:t>一、知识链接</w:t>
            </w:r>
          </w:p>
          <w:p w14:paraId="43259AAB">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（一）车站计算机系统概述</w:t>
            </w:r>
          </w:p>
          <w:p w14:paraId="42A2A06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确保自动售检票系统平稳运作的关键在于车站计算机系统，它主要负责将车站的各类票务信息及设备状态信息传送至线路中心控制系统，并接收来自线路中心的票务参数、运行参数以及运行模式指令等。此外，车站计算机系统还承担着与本站范围内各终端设备进行通信和数据交换的任务。</w:t>
            </w:r>
          </w:p>
          <w:p w14:paraId="50CB9F5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在路网系统中，车站计算机系统扮演着连接上下级的关键角色，并具备独立运营和管理的能力。根据管理需求，车站计算机系统的应用功能可以概括为设备运行监控、交易数据处理、运营数据统计分析、票务处理以及运营管理工作。</w:t>
            </w:r>
          </w:p>
        </w:tc>
        <w:tc>
          <w:tcPr>
            <w:tcW w:w="1521" w:type="dxa"/>
            <w:shd w:val="clear" w:color="auto" w:fill="FFFFFF" w:themeFill="background1"/>
            <w:vAlign w:val="center"/>
          </w:tcPr>
          <w:p w14:paraId="54B51E7D">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eastAsia="zh-CN"/>
              </w:rPr>
            </w:pPr>
            <w:r>
              <w:rPr>
                <w:rFonts w:hint="eastAsia"/>
                <w:color w:val="auto"/>
                <w:sz w:val="24"/>
                <w:szCs w:val="28"/>
                <w:lang w:val="en-US" w:eastAsia="zh-CN"/>
              </w:rPr>
              <w:t>教师讲解，学生认真听讲</w:t>
            </w:r>
          </w:p>
        </w:tc>
        <w:tc>
          <w:tcPr>
            <w:tcW w:w="1522" w:type="dxa"/>
            <w:shd w:val="clear" w:color="auto" w:fill="FFFFFF" w:themeFill="background1"/>
            <w:vAlign w:val="center"/>
          </w:tcPr>
          <w:p w14:paraId="435F93D3">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color w:val="auto"/>
                <w:sz w:val="24"/>
                <w:szCs w:val="24"/>
                <w:lang w:val="en-US" w:eastAsia="zh-CN"/>
              </w:rPr>
              <w:t>帮助学生对</w:t>
            </w:r>
            <w:r>
              <w:rPr>
                <w:rFonts w:hint="eastAsia" w:ascii="宋体" w:hAnsi="宋体" w:eastAsia="宋体" w:cs="宋体"/>
                <w:bCs/>
                <w:color w:val="auto"/>
                <w:kern w:val="2"/>
                <w:sz w:val="24"/>
                <w:szCs w:val="24"/>
                <w:lang w:val="en-US" w:eastAsia="zh-CN" w:bidi="ar-SA"/>
              </w:rPr>
              <w:t>车站计算机系统</w:t>
            </w:r>
            <w:r>
              <w:rPr>
                <w:rFonts w:hint="eastAsia" w:ascii="宋体" w:hAnsi="宋体" w:cs="宋体"/>
                <w:bCs/>
                <w:color w:val="auto"/>
                <w:kern w:val="2"/>
                <w:sz w:val="24"/>
                <w:szCs w:val="24"/>
                <w:lang w:val="en-US" w:eastAsia="zh-CN" w:bidi="ar-SA"/>
              </w:rPr>
              <w:t>有一个初步的了解</w:t>
            </w:r>
          </w:p>
        </w:tc>
      </w:tr>
      <w:tr w14:paraId="32497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C23E43">
            <w:pPr>
              <w:rPr>
                <w:color w:val="auto"/>
              </w:rPr>
            </w:pPr>
          </w:p>
        </w:tc>
        <w:tc>
          <w:tcPr>
            <w:tcW w:w="5479" w:type="dxa"/>
            <w:shd w:val="clear" w:color="auto" w:fill="FFFFFF" w:themeFill="background1"/>
            <w:vAlign w:val="top"/>
          </w:tcPr>
          <w:p w14:paraId="429646D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（二）车站计算机系统的基本架构</w:t>
            </w:r>
          </w:p>
          <w:p w14:paraId="37D10E0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随着科技的不断发展，计算机系统在车站的运营中扮演着越来越重要的角色。车站计算机系统是一个复杂而庞大的系统，包括硬件设备、软件程序和网络连接等多个组成部分。下面从硬件、软件和网络三个部分分别进行介绍。</w:t>
            </w:r>
          </w:p>
        </w:tc>
        <w:tc>
          <w:tcPr>
            <w:tcW w:w="1521" w:type="dxa"/>
            <w:shd w:val="clear" w:color="auto" w:fill="FFFFFF" w:themeFill="background1"/>
            <w:vAlign w:val="center"/>
          </w:tcPr>
          <w:p w14:paraId="63E3986F">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color w:val="auto"/>
                <w:sz w:val="24"/>
                <w:szCs w:val="24"/>
                <w:lang w:val="en-US"/>
              </w:rPr>
            </w:pPr>
            <w:r>
              <w:rPr>
                <w:rFonts w:ascii="Times New Roman" w:hAnsi="Times New Roman"/>
                <w:sz w:val="24"/>
                <w:szCs w:val="24"/>
              </w:rPr>
              <w:t>师讲解，学生观</w:t>
            </w:r>
          </w:p>
        </w:tc>
        <w:tc>
          <w:tcPr>
            <w:tcW w:w="1522" w:type="dxa"/>
            <w:shd w:val="clear" w:color="auto" w:fill="FFFFFF" w:themeFill="background1"/>
            <w:vAlign w:val="center"/>
          </w:tcPr>
          <w:p w14:paraId="2D5BB55D">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color w:val="auto"/>
                <w:sz w:val="24"/>
                <w:szCs w:val="24"/>
                <w:lang w:val="en-US"/>
              </w:rPr>
            </w:pPr>
            <w:r>
              <w:rPr>
                <w:rFonts w:hint="eastAsia" w:ascii="宋体" w:hAnsi="宋体" w:cs="宋体"/>
                <w:color w:val="auto"/>
                <w:kern w:val="0"/>
                <w:sz w:val="24"/>
                <w:szCs w:val="24"/>
                <w:lang w:val="en-US" w:eastAsia="zh-CN" w:bidi="ar"/>
              </w:rPr>
              <w:t>使学生对</w:t>
            </w:r>
            <w:r>
              <w:rPr>
                <w:rFonts w:hint="eastAsia" w:ascii="宋体" w:hAnsi="宋体" w:eastAsia="宋体" w:cs="宋体"/>
                <w:color w:val="auto"/>
                <w:kern w:val="0"/>
                <w:sz w:val="24"/>
                <w:szCs w:val="24"/>
                <w:lang w:val="en-US" w:eastAsia="zh-CN" w:bidi="ar"/>
              </w:rPr>
              <w:t>车站计算机系统的基本架构</w:t>
            </w:r>
            <w:r>
              <w:rPr>
                <w:rFonts w:hint="eastAsia" w:ascii="宋体" w:hAnsi="宋体" w:cs="宋体"/>
                <w:color w:val="auto"/>
                <w:kern w:val="0"/>
                <w:sz w:val="24"/>
                <w:szCs w:val="24"/>
                <w:lang w:val="en-US" w:eastAsia="zh-CN" w:bidi="ar"/>
              </w:rPr>
              <w:t>形成初步认识</w:t>
            </w:r>
          </w:p>
        </w:tc>
      </w:tr>
      <w:tr w14:paraId="23AE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A5A0138">
            <w:pPr>
              <w:rPr>
                <w:color w:val="auto"/>
              </w:rPr>
            </w:pPr>
          </w:p>
        </w:tc>
        <w:tc>
          <w:tcPr>
            <w:tcW w:w="5479" w:type="dxa"/>
            <w:shd w:val="clear" w:color="auto" w:fill="FFFFFF" w:themeFill="background1"/>
            <w:vAlign w:val="top"/>
          </w:tcPr>
          <w:p w14:paraId="27D3FB9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1.硬件部分</w:t>
            </w:r>
          </w:p>
          <w:p w14:paraId="1BA8D88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车站计算机系统的硬件部分包括计算机主机、终端设备和外围设备等。计算机主机是车站计算机系统的核心，负责处理各种数据和信息。终端设备是车站工作人员和乘客与计算机系统进行交互的工具，如售票机、自助查询机等。外围设备包括打印机、扫描仪等辅助设备，用于与其他设备进行连接和数据交换。</w:t>
            </w:r>
          </w:p>
        </w:tc>
        <w:tc>
          <w:tcPr>
            <w:tcW w:w="1521" w:type="dxa"/>
            <w:shd w:val="clear" w:color="auto" w:fill="FFFFFF" w:themeFill="background1"/>
            <w:vAlign w:val="center"/>
          </w:tcPr>
          <w:p w14:paraId="4E7E65E7">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ascii="Times New Roman" w:hAnsi="Times New Roman"/>
                <w:sz w:val="24"/>
                <w:szCs w:val="24"/>
              </w:rPr>
              <w:t>师讲解，学生观</w:t>
            </w:r>
          </w:p>
        </w:tc>
        <w:tc>
          <w:tcPr>
            <w:tcW w:w="1522" w:type="dxa"/>
            <w:shd w:val="clear" w:color="auto" w:fill="FFFFFF" w:themeFill="background1"/>
            <w:vAlign w:val="center"/>
          </w:tcPr>
          <w:p w14:paraId="1CE8A280">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车站计算机系统的硬件部分</w:t>
            </w:r>
          </w:p>
        </w:tc>
      </w:tr>
      <w:tr w14:paraId="7E09D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5C98551">
            <w:pPr>
              <w:rPr>
                <w:color w:val="auto"/>
              </w:rPr>
            </w:pPr>
          </w:p>
        </w:tc>
        <w:tc>
          <w:tcPr>
            <w:tcW w:w="5479" w:type="dxa"/>
            <w:shd w:val="clear" w:color="auto" w:fill="FFFFFF" w:themeFill="background1"/>
          </w:tcPr>
          <w:p w14:paraId="2EEA486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2.软件部分</w:t>
            </w:r>
          </w:p>
          <w:p w14:paraId="6D57701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车站计算机系统的软件部分主要包括操作系统、数据库管理系统和应用软件等。操作系统是车站计算机系统的核心软件，它控制和管理计算机的各种资源，使各个软件和硬件能够协同工作。数据库管理系统是车站计算机系统中的重要组成部分，它负责管理和存储各种数据和信息，提供数据的高效访问和操作。应用软件包括车站售票系统、安检系统、列车调度系统等，是车站计算机系统的功能模块，用于实现车站运营的各项业务。</w:t>
            </w:r>
          </w:p>
        </w:tc>
        <w:tc>
          <w:tcPr>
            <w:tcW w:w="1521" w:type="dxa"/>
            <w:shd w:val="clear" w:color="auto" w:fill="FFFFFF" w:themeFill="background1"/>
            <w:vAlign w:val="center"/>
          </w:tcPr>
          <w:p w14:paraId="6329B01A">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ascii="Times New Roman" w:hAnsi="Times New Roman"/>
                <w:sz w:val="24"/>
                <w:szCs w:val="24"/>
              </w:rPr>
              <w:t>师讲解，学生观</w:t>
            </w:r>
          </w:p>
        </w:tc>
        <w:tc>
          <w:tcPr>
            <w:tcW w:w="1522" w:type="dxa"/>
            <w:shd w:val="clear" w:color="auto" w:fill="FFFFFF" w:themeFill="background1"/>
            <w:vAlign w:val="center"/>
          </w:tcPr>
          <w:p w14:paraId="0CF3BF98">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车站计算机系统的软件部分</w:t>
            </w:r>
          </w:p>
        </w:tc>
      </w:tr>
      <w:tr w14:paraId="1D3FA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403635">
            <w:pPr>
              <w:rPr>
                <w:color w:val="auto"/>
              </w:rPr>
            </w:pPr>
          </w:p>
        </w:tc>
        <w:tc>
          <w:tcPr>
            <w:tcW w:w="5479" w:type="dxa"/>
            <w:shd w:val="clear" w:color="auto" w:fill="FFFFFF" w:themeFill="background1"/>
          </w:tcPr>
          <w:p w14:paraId="5F4E71C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3.网络部分</w:t>
            </w:r>
          </w:p>
          <w:p w14:paraId="555F9A2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车站计算机系统的网络部分是各个硬件设备和软件系统之间的连接和通信基础。车站计算机系统通常采用局域网（LAN）和广域网（WAN）相结合的方式进行组网。局域网用于连接车站内部的各个设备，包括计算机主机、终端设备和外围设备等。广域网用于连接不同车站之间的计算机系统，实现信息的共享和交换。车站计算机系统的网络部分还包括网络安全和数据传输的相关技术，如防火墙、虚拟专用网（VPN）等，以确保数据的安全和可靠传输。</w:t>
            </w:r>
          </w:p>
        </w:tc>
        <w:tc>
          <w:tcPr>
            <w:tcW w:w="1521" w:type="dxa"/>
            <w:shd w:val="clear" w:color="auto" w:fill="FFFFFF" w:themeFill="background1"/>
            <w:vAlign w:val="center"/>
          </w:tcPr>
          <w:p w14:paraId="4549CD7B">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ascii="Times New Roman" w:hAnsi="Times New Roman"/>
                <w:sz w:val="24"/>
                <w:szCs w:val="24"/>
              </w:rPr>
              <w:t>师讲解，学生观</w:t>
            </w:r>
          </w:p>
        </w:tc>
        <w:tc>
          <w:tcPr>
            <w:tcW w:w="1522" w:type="dxa"/>
            <w:shd w:val="clear" w:color="auto" w:fill="FFFFFF" w:themeFill="background1"/>
            <w:vAlign w:val="center"/>
          </w:tcPr>
          <w:p w14:paraId="29AAEC80">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车站计算机系统的网络部分</w:t>
            </w:r>
          </w:p>
        </w:tc>
      </w:tr>
      <w:tr w14:paraId="704BA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E1D802A">
            <w:pPr>
              <w:rPr>
                <w:color w:val="auto"/>
              </w:rPr>
            </w:pPr>
          </w:p>
        </w:tc>
        <w:tc>
          <w:tcPr>
            <w:tcW w:w="5479" w:type="dxa"/>
            <w:shd w:val="clear" w:color="auto" w:fill="FFFFFF" w:themeFill="background1"/>
          </w:tcPr>
          <w:p w14:paraId="0F1265D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（三）车站计算机系统的主要设备</w:t>
            </w:r>
          </w:p>
          <w:p w14:paraId="21CD397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车站计算机系统包括车站服务器、监控工作站、票务工作站、打印机、交换机、网络自动售票机、半自动售票机、自动检票机、列车监控系统、便携式验票机，如图6-1所示。</w:t>
            </w:r>
          </w:p>
          <w:p w14:paraId="68B7D2E9">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2280285" cy="1330960"/>
                  <wp:effectExtent l="0" t="0" r="5715" b="101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2280285" cy="1330960"/>
                          </a:xfrm>
                          <a:prstGeom prst="rect">
                            <a:avLst/>
                          </a:prstGeom>
                          <a:noFill/>
                          <a:ln>
                            <a:noFill/>
                          </a:ln>
                        </pic:spPr>
                      </pic:pic>
                    </a:graphicData>
                  </a:graphic>
                </wp:inline>
              </w:drawing>
            </w:r>
          </w:p>
        </w:tc>
        <w:tc>
          <w:tcPr>
            <w:tcW w:w="1521" w:type="dxa"/>
            <w:shd w:val="clear" w:color="auto" w:fill="FFFFFF" w:themeFill="background1"/>
            <w:vAlign w:val="center"/>
          </w:tcPr>
          <w:p w14:paraId="6078E077">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展示图片</w:t>
            </w:r>
          </w:p>
          <w:p w14:paraId="161A6423">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ascii="Times New Roman" w:hAnsi="Times New Roman"/>
                <w:sz w:val="24"/>
                <w:szCs w:val="24"/>
              </w:rPr>
              <w:t>师讲解，学生观</w:t>
            </w:r>
          </w:p>
        </w:tc>
        <w:tc>
          <w:tcPr>
            <w:tcW w:w="1522" w:type="dxa"/>
            <w:shd w:val="clear" w:color="auto" w:fill="FFFFFF" w:themeFill="background1"/>
            <w:vAlign w:val="center"/>
          </w:tcPr>
          <w:p w14:paraId="72E257B5">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color w:val="auto"/>
                <w:sz w:val="24"/>
                <w:szCs w:val="24"/>
                <w:lang w:val="en-US"/>
              </w:rPr>
            </w:pPr>
            <w:r>
              <w:rPr>
                <w:rFonts w:hint="eastAsia" w:ascii="Times New Roman" w:hAnsi="Times New Roman"/>
                <w:color w:val="auto"/>
                <w:sz w:val="24"/>
                <w:szCs w:val="24"/>
              </w:rPr>
              <w:t>使学生</w:t>
            </w:r>
            <w:r>
              <w:rPr>
                <w:rFonts w:hint="eastAsia" w:ascii="Times New Roman" w:hAnsi="Times New Roman"/>
                <w:color w:val="auto"/>
                <w:sz w:val="24"/>
                <w:szCs w:val="24"/>
                <w:lang w:val="en-US" w:eastAsia="zh-CN"/>
              </w:rPr>
              <w:t>对</w:t>
            </w:r>
            <w:r>
              <w:rPr>
                <w:rFonts w:hint="eastAsia" w:ascii="宋体" w:hAnsi="宋体" w:eastAsia="宋体" w:cs="宋体"/>
                <w:color w:val="auto"/>
                <w:kern w:val="0"/>
                <w:sz w:val="24"/>
                <w:szCs w:val="24"/>
                <w:lang w:val="en-US" w:eastAsia="zh-CN" w:bidi="ar"/>
              </w:rPr>
              <w:t>车站计算机系统的主要设备</w:t>
            </w:r>
            <w:r>
              <w:rPr>
                <w:rFonts w:hint="eastAsia" w:ascii="宋体" w:hAnsi="宋体" w:cs="宋体"/>
                <w:color w:val="auto"/>
                <w:kern w:val="0"/>
                <w:sz w:val="24"/>
                <w:szCs w:val="24"/>
                <w:lang w:val="en-US" w:eastAsia="zh-CN" w:bidi="ar"/>
              </w:rPr>
              <w:t>形成初步认识</w:t>
            </w:r>
          </w:p>
        </w:tc>
      </w:tr>
      <w:tr w14:paraId="455E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8CCF22">
            <w:pPr>
              <w:rPr>
                <w:color w:val="auto"/>
              </w:rPr>
            </w:pPr>
          </w:p>
        </w:tc>
        <w:tc>
          <w:tcPr>
            <w:tcW w:w="5479" w:type="dxa"/>
            <w:shd w:val="clear" w:color="auto" w:fill="FFFFFF" w:themeFill="background1"/>
          </w:tcPr>
          <w:p w14:paraId="59086393">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（四）车站计算机系统的主要功能</w:t>
            </w:r>
          </w:p>
          <w:p w14:paraId="1B25C88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1.运营管理</w:t>
            </w:r>
          </w:p>
          <w:p w14:paraId="0E9E05C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（1）设备监视管理。</w:t>
            </w:r>
          </w:p>
          <w:p w14:paraId="3DB1FB7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车站计算机系统的设备监视管理界面如图6-2所示。</w:t>
            </w:r>
          </w:p>
          <w:p w14:paraId="1CF1D65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2158365" cy="1352550"/>
                  <wp:effectExtent l="0" t="0" r="5715"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2158365" cy="1352550"/>
                          </a:xfrm>
                          <a:prstGeom prst="rect">
                            <a:avLst/>
                          </a:prstGeom>
                          <a:noFill/>
                          <a:ln>
                            <a:noFill/>
                          </a:ln>
                        </pic:spPr>
                      </pic:pic>
                    </a:graphicData>
                  </a:graphic>
                </wp:inline>
              </w:drawing>
            </w:r>
          </w:p>
          <w:p w14:paraId="0DA7446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设备监视内容：能监控车站设备运行状态，自动接收状态变化数据；能模拟车站设备布置，图形化监控车站网络运行情况、设备通信状态、运行状态及故障情况；能自动记录设备软件版本变更情况；还能通过诊断功能选择菜单完成一些检查及测试。</w:t>
            </w:r>
          </w:p>
          <w:p w14:paraId="6EFEA5F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设备事件及状态查询：能查询单台、一组、一类或全部设备本日内所发生的状态及故障信息，包括设备号、状态代码、开始及结束时间、状态描述等。必要时，能分类查询车站设备实时或30日内上传的所有原始数据和3个月内的设备状态、寄存器数据。</w:t>
            </w:r>
          </w:p>
          <w:p w14:paraId="33A7201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kern w:val="0"/>
                <w:sz w:val="24"/>
                <w:szCs w:val="24"/>
                <w:lang w:val="en-US" w:eastAsia="zh-CN" w:bidi="ar"/>
              </w:rPr>
              <w:t>③故障报警及解除：能准确、实时显示状态变化或故障。工作站能根据状态或故障等级的不同，显示不同颜色的报警信息；能查询单台设备的设备状态、故障信息及内部重要部件的运行状态；还能一次性查询或显示所有设备的当前状态信息。</w:t>
            </w:r>
          </w:p>
        </w:tc>
        <w:tc>
          <w:tcPr>
            <w:tcW w:w="1521" w:type="dxa"/>
            <w:shd w:val="clear" w:color="auto" w:fill="FFFFFF" w:themeFill="background1"/>
            <w:vAlign w:val="center"/>
          </w:tcPr>
          <w:p w14:paraId="1664E4D2">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color w:val="auto"/>
                <w:sz w:val="24"/>
                <w:szCs w:val="24"/>
                <w:lang w:val="en-US" w:eastAsia="zh-CN"/>
              </w:rPr>
              <w:t>邀请学生阅读，教师进行补充讲解</w:t>
            </w:r>
          </w:p>
        </w:tc>
        <w:tc>
          <w:tcPr>
            <w:tcW w:w="1522" w:type="dxa"/>
            <w:shd w:val="clear" w:color="auto" w:fill="FFFFFF" w:themeFill="background1"/>
            <w:vAlign w:val="center"/>
          </w:tcPr>
          <w:p w14:paraId="3DD23C40">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车站计算机系统的设备监视管理</w:t>
            </w:r>
            <w:r>
              <w:rPr>
                <w:rFonts w:hint="eastAsia" w:ascii="宋体" w:hAnsi="宋体" w:cs="宋体"/>
                <w:color w:val="auto"/>
                <w:kern w:val="0"/>
                <w:sz w:val="24"/>
                <w:szCs w:val="24"/>
                <w:lang w:val="en-US" w:eastAsia="zh-CN" w:bidi="ar"/>
              </w:rPr>
              <w:t>功能</w:t>
            </w:r>
          </w:p>
        </w:tc>
      </w:tr>
      <w:tr w14:paraId="3E08D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9E4ED9C">
            <w:pPr>
              <w:rPr>
                <w:color w:val="auto"/>
              </w:rPr>
            </w:pPr>
          </w:p>
        </w:tc>
        <w:tc>
          <w:tcPr>
            <w:tcW w:w="5479" w:type="dxa"/>
            <w:shd w:val="clear" w:color="auto" w:fill="FFFFFF" w:themeFill="background1"/>
          </w:tcPr>
          <w:p w14:paraId="631A726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2.设备控制</w:t>
            </w:r>
          </w:p>
          <w:p w14:paraId="17E8D36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车站计算机能向本车站单台、一组、一类或全部设备下达运行控制指令，包括：</w:t>
            </w:r>
          </w:p>
          <w:p w14:paraId="57A2E86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①车站设备正常服务及关闭模式（或待机）切换；</w:t>
            </w:r>
          </w:p>
          <w:p w14:paraId="663AC51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②向双向检票机下达进、出模式指令；</w:t>
            </w:r>
          </w:p>
          <w:p w14:paraId="0C72938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③紧急模式下的设备控制。</w:t>
            </w:r>
          </w:p>
        </w:tc>
        <w:tc>
          <w:tcPr>
            <w:tcW w:w="1521" w:type="dxa"/>
            <w:shd w:val="clear" w:color="auto" w:fill="FFFFFF" w:themeFill="background1"/>
            <w:vAlign w:val="center"/>
          </w:tcPr>
          <w:p w14:paraId="3295572C">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614ADA55">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车站计算机系统的设备控制</w:t>
            </w:r>
            <w:r>
              <w:rPr>
                <w:rFonts w:hint="eastAsia" w:ascii="宋体" w:hAnsi="宋体" w:cs="宋体"/>
                <w:color w:val="auto"/>
                <w:kern w:val="0"/>
                <w:sz w:val="24"/>
                <w:szCs w:val="24"/>
                <w:lang w:val="en-US" w:eastAsia="zh-CN" w:bidi="ar"/>
              </w:rPr>
              <w:t>功能</w:t>
            </w:r>
          </w:p>
        </w:tc>
      </w:tr>
      <w:tr w14:paraId="0C43D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2DAE52">
            <w:pPr>
              <w:rPr>
                <w:color w:val="auto"/>
              </w:rPr>
            </w:pPr>
          </w:p>
        </w:tc>
        <w:tc>
          <w:tcPr>
            <w:tcW w:w="5479" w:type="dxa"/>
            <w:shd w:val="clear" w:color="auto" w:fill="FFFFFF" w:themeFill="background1"/>
          </w:tcPr>
          <w:p w14:paraId="1F6BBF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3.客流监视</w:t>
            </w:r>
          </w:p>
          <w:p w14:paraId="1C9FCCE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车站计算机能集中统一监视系统客流及车票处理情况。其客流监视界面如图6-3所示。</w:t>
            </w:r>
          </w:p>
          <w:p w14:paraId="139E1E8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294255" cy="1601470"/>
                  <wp:effectExtent l="0" t="0" r="6985"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2294255" cy="1601470"/>
                          </a:xfrm>
                          <a:prstGeom prst="rect">
                            <a:avLst/>
                          </a:prstGeom>
                          <a:noFill/>
                          <a:ln>
                            <a:noFill/>
                          </a:ln>
                        </pic:spPr>
                      </pic:pic>
                    </a:graphicData>
                  </a:graphic>
                </wp:inline>
              </w:drawing>
            </w:r>
          </w:p>
        </w:tc>
        <w:tc>
          <w:tcPr>
            <w:tcW w:w="1521" w:type="dxa"/>
            <w:shd w:val="clear" w:color="auto" w:fill="FFFFFF" w:themeFill="background1"/>
            <w:vAlign w:val="center"/>
          </w:tcPr>
          <w:p w14:paraId="6AF19FDB">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展示图片</w:t>
            </w:r>
          </w:p>
          <w:p w14:paraId="48EEE735">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olor w:val="auto"/>
                <w:sz w:val="24"/>
                <w:szCs w:val="24"/>
                <w:lang w:val="en-US" w:eastAsia="zh-CN"/>
              </w:rPr>
            </w:pPr>
            <w:r>
              <w:rPr>
                <w:rFonts w:ascii="Times New Roman" w:hAnsi="Times New Roman"/>
                <w:sz w:val="24"/>
                <w:szCs w:val="24"/>
              </w:rPr>
              <w:t>师讲解，学生观</w:t>
            </w:r>
          </w:p>
        </w:tc>
        <w:tc>
          <w:tcPr>
            <w:tcW w:w="1522" w:type="dxa"/>
            <w:shd w:val="clear" w:color="auto" w:fill="FFFFFF" w:themeFill="background1"/>
            <w:vAlign w:val="center"/>
          </w:tcPr>
          <w:p w14:paraId="5A514013">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车站计算机系统的客流监视</w:t>
            </w:r>
            <w:r>
              <w:rPr>
                <w:rFonts w:hint="eastAsia" w:ascii="宋体" w:hAnsi="宋体" w:cs="宋体"/>
                <w:color w:val="auto"/>
                <w:kern w:val="0"/>
                <w:sz w:val="24"/>
                <w:szCs w:val="24"/>
                <w:lang w:val="en-US" w:eastAsia="zh-CN" w:bidi="ar"/>
              </w:rPr>
              <w:t>功能</w:t>
            </w:r>
          </w:p>
        </w:tc>
      </w:tr>
      <w:tr w14:paraId="34FEF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578720A">
            <w:pPr>
              <w:rPr>
                <w:color w:val="auto"/>
              </w:rPr>
            </w:pPr>
          </w:p>
        </w:tc>
        <w:tc>
          <w:tcPr>
            <w:tcW w:w="5479" w:type="dxa"/>
            <w:shd w:val="clear" w:color="auto" w:fill="FFFFFF" w:themeFill="background1"/>
          </w:tcPr>
          <w:p w14:paraId="0E66B3C6">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可实现监视功能，所监视的客流数据至少包括购票、充值客流及进出站处理客流；可实现对车站当前客流的实时监视，及时了解当前站内的客流压力；还可对客流进行分析，包括指定时间段内的乘车人数统计、指定时间段内的购票人数统计、指定时间段内的设备客流分布统计。</w:t>
            </w:r>
          </w:p>
        </w:tc>
        <w:tc>
          <w:tcPr>
            <w:tcW w:w="1521" w:type="dxa"/>
            <w:shd w:val="clear" w:color="auto" w:fill="FFFFFF" w:themeFill="background1"/>
            <w:vAlign w:val="center"/>
          </w:tcPr>
          <w:p w14:paraId="25714B2D">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邀请学生阅读</w:t>
            </w:r>
          </w:p>
        </w:tc>
        <w:tc>
          <w:tcPr>
            <w:tcW w:w="1522" w:type="dxa"/>
            <w:shd w:val="clear" w:color="auto" w:fill="FFFFFF" w:themeFill="background1"/>
            <w:vAlign w:val="center"/>
          </w:tcPr>
          <w:p w14:paraId="2ACC6657">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车站计算机系统的客流监视</w:t>
            </w:r>
            <w:r>
              <w:rPr>
                <w:rFonts w:hint="eastAsia" w:ascii="宋体" w:hAnsi="宋体" w:cs="宋体"/>
                <w:color w:val="auto"/>
                <w:kern w:val="0"/>
                <w:sz w:val="24"/>
                <w:szCs w:val="24"/>
                <w:lang w:val="en-US" w:eastAsia="zh-CN" w:bidi="ar"/>
              </w:rPr>
              <w:t>功能</w:t>
            </w:r>
          </w:p>
        </w:tc>
      </w:tr>
      <w:tr w14:paraId="5F624F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0176955">
            <w:pPr>
              <w:rPr>
                <w:color w:val="auto"/>
              </w:rPr>
            </w:pPr>
          </w:p>
        </w:tc>
        <w:tc>
          <w:tcPr>
            <w:tcW w:w="5479" w:type="dxa"/>
            <w:shd w:val="clear" w:color="auto" w:fill="FFFFFF" w:themeFill="background1"/>
          </w:tcPr>
          <w:p w14:paraId="7017EAE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其客流统计流程如图6-4所示。</w:t>
            </w:r>
          </w:p>
          <w:p w14:paraId="3530CB97">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2540000" cy="1058545"/>
                  <wp:effectExtent l="0" t="0" r="1270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2540000" cy="1058545"/>
                          </a:xfrm>
                          <a:prstGeom prst="rect">
                            <a:avLst/>
                          </a:prstGeom>
                          <a:noFill/>
                          <a:ln>
                            <a:noFill/>
                          </a:ln>
                        </pic:spPr>
                      </pic:pic>
                    </a:graphicData>
                  </a:graphic>
                </wp:inline>
              </w:drawing>
            </w:r>
          </w:p>
        </w:tc>
        <w:tc>
          <w:tcPr>
            <w:tcW w:w="1521" w:type="dxa"/>
            <w:shd w:val="clear" w:color="auto" w:fill="FFFFFF" w:themeFill="background1"/>
            <w:vAlign w:val="center"/>
          </w:tcPr>
          <w:p w14:paraId="4B96839E">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展示图片</w:t>
            </w:r>
          </w:p>
          <w:p w14:paraId="46C7959F">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30907DCC">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客流统计流程</w:t>
            </w:r>
          </w:p>
        </w:tc>
      </w:tr>
      <w:tr w14:paraId="70FF4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4888C62">
            <w:pPr>
              <w:rPr>
                <w:color w:val="auto"/>
              </w:rPr>
            </w:pPr>
          </w:p>
        </w:tc>
        <w:tc>
          <w:tcPr>
            <w:tcW w:w="5479" w:type="dxa"/>
            <w:shd w:val="clear" w:color="auto" w:fill="FFFFFF" w:themeFill="background1"/>
          </w:tcPr>
          <w:p w14:paraId="6673598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4.运行管理</w:t>
            </w:r>
          </w:p>
          <w:p w14:paraId="559B127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车站计算机系统的运行管理界面如图6-5所示。</w:t>
            </w:r>
          </w:p>
          <w:p w14:paraId="049203B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2457450" cy="1636395"/>
                  <wp:effectExtent l="0" t="0" r="1143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2457450" cy="1636395"/>
                          </a:xfrm>
                          <a:prstGeom prst="rect">
                            <a:avLst/>
                          </a:prstGeom>
                          <a:noFill/>
                          <a:ln>
                            <a:noFill/>
                          </a:ln>
                        </pic:spPr>
                      </pic:pic>
                    </a:graphicData>
                  </a:graphic>
                </wp:inline>
              </w:drawing>
            </w:r>
          </w:p>
        </w:tc>
        <w:tc>
          <w:tcPr>
            <w:tcW w:w="1521" w:type="dxa"/>
            <w:shd w:val="clear" w:color="auto" w:fill="FFFFFF" w:themeFill="background1"/>
            <w:vAlign w:val="center"/>
          </w:tcPr>
          <w:p w14:paraId="076C9121">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展示图片</w:t>
            </w:r>
          </w:p>
          <w:p w14:paraId="00BF85F3">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ascii="Times New Roman" w:hAnsi="Times New Roman"/>
                <w:sz w:val="24"/>
                <w:szCs w:val="24"/>
              </w:rPr>
              <w:t>师讲解，学生观</w:t>
            </w:r>
          </w:p>
        </w:tc>
        <w:tc>
          <w:tcPr>
            <w:tcW w:w="1522" w:type="dxa"/>
            <w:shd w:val="clear" w:color="auto" w:fill="FFFFFF" w:themeFill="background1"/>
            <w:vAlign w:val="center"/>
          </w:tcPr>
          <w:p w14:paraId="3FA67C67">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车站计算机系统的运行管理</w:t>
            </w:r>
            <w:r>
              <w:rPr>
                <w:rFonts w:hint="eastAsia" w:ascii="宋体" w:hAnsi="宋体" w:cs="宋体"/>
                <w:color w:val="auto"/>
                <w:kern w:val="0"/>
                <w:sz w:val="24"/>
                <w:szCs w:val="24"/>
                <w:lang w:val="en-US" w:eastAsia="zh-CN" w:bidi="ar"/>
              </w:rPr>
              <w:t>功能</w:t>
            </w:r>
          </w:p>
        </w:tc>
      </w:tr>
      <w:tr w14:paraId="6679C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EFD3C0">
            <w:pPr>
              <w:rPr>
                <w:color w:val="auto"/>
              </w:rPr>
            </w:pPr>
          </w:p>
        </w:tc>
        <w:tc>
          <w:tcPr>
            <w:tcW w:w="5479" w:type="dxa"/>
            <w:shd w:val="clear" w:color="auto" w:fill="FFFFFF" w:themeFill="background1"/>
          </w:tcPr>
          <w:p w14:paraId="150BD96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（1）紧急模式。</w:t>
            </w:r>
          </w:p>
          <w:p w14:paraId="72A0FCF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启用方式：</w:t>
            </w:r>
          </w:p>
          <w:p w14:paraId="7B65F5B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①车站控制工作站发起。</w:t>
            </w:r>
          </w:p>
          <w:p w14:paraId="43BEA3F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②由线路发起并经车站计算机转发至终端设备。</w:t>
            </w:r>
          </w:p>
          <w:p w14:paraId="215C8EF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③通过紧急按钮发起。当触发紧急模式时，车站计算机能记录触发源位置、触发时间和设备动作响应等情况，并将紧急模式信息上传LC。</w:t>
            </w:r>
          </w:p>
        </w:tc>
        <w:tc>
          <w:tcPr>
            <w:tcW w:w="1521" w:type="dxa"/>
            <w:shd w:val="clear" w:color="auto" w:fill="FFFFFF" w:themeFill="background1"/>
            <w:vAlign w:val="center"/>
          </w:tcPr>
          <w:p w14:paraId="4D24B368">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ascii="Times New Roman" w:hAnsi="Times New Roman"/>
                <w:sz w:val="24"/>
                <w:szCs w:val="24"/>
              </w:rPr>
              <w:t>师讲解，学生观</w:t>
            </w:r>
          </w:p>
        </w:tc>
        <w:tc>
          <w:tcPr>
            <w:tcW w:w="1522" w:type="dxa"/>
            <w:shd w:val="clear" w:color="auto" w:fill="FFFFFF" w:themeFill="background1"/>
            <w:vAlign w:val="center"/>
          </w:tcPr>
          <w:p w14:paraId="4D1CD73B">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车站计算机系统紧急模式的启用方式</w:t>
            </w:r>
          </w:p>
        </w:tc>
      </w:tr>
      <w:tr w14:paraId="310C1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7CCC00D">
            <w:pPr>
              <w:rPr>
                <w:color w:val="auto"/>
              </w:rPr>
            </w:pPr>
          </w:p>
        </w:tc>
        <w:tc>
          <w:tcPr>
            <w:tcW w:w="5479" w:type="dxa"/>
            <w:shd w:val="clear" w:color="auto" w:fill="FFFFFF" w:themeFill="background1"/>
          </w:tcPr>
          <w:p w14:paraId="3325A3A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（2）运行时间表。</w:t>
            </w:r>
          </w:p>
          <w:p w14:paraId="5E53BE4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车站计算机可接收LC下传的系统自动运行时间表，也可根据车站具体情况制定本车站系统自动运行时间表，以满足车站计算机24小时连续工作及无人操作的要求。</w:t>
            </w:r>
          </w:p>
        </w:tc>
        <w:tc>
          <w:tcPr>
            <w:tcW w:w="1521" w:type="dxa"/>
            <w:shd w:val="clear" w:color="auto" w:fill="FFFFFF" w:themeFill="background1"/>
            <w:vAlign w:val="center"/>
          </w:tcPr>
          <w:p w14:paraId="5AD06DCA">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s="Times New Roman"/>
                <w:color w:val="auto"/>
                <w:kern w:val="2"/>
                <w:sz w:val="24"/>
                <w:szCs w:val="24"/>
                <w:lang w:val="en-US" w:eastAsia="zh-CN" w:bidi="ar-SA"/>
              </w:rPr>
              <w:t>邀请学生阅读</w:t>
            </w:r>
          </w:p>
        </w:tc>
        <w:tc>
          <w:tcPr>
            <w:tcW w:w="1522" w:type="dxa"/>
            <w:shd w:val="clear" w:color="auto" w:fill="FFFFFF" w:themeFill="background1"/>
            <w:vAlign w:val="center"/>
          </w:tcPr>
          <w:p w14:paraId="28ED4210">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车站计算机系统的运行时间表</w:t>
            </w:r>
          </w:p>
        </w:tc>
      </w:tr>
      <w:tr w14:paraId="1C331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8EC112">
            <w:pPr>
              <w:rPr>
                <w:color w:val="auto"/>
              </w:rPr>
            </w:pPr>
          </w:p>
        </w:tc>
        <w:tc>
          <w:tcPr>
            <w:tcW w:w="5479" w:type="dxa"/>
            <w:shd w:val="clear" w:color="auto" w:fill="FFFFFF" w:themeFill="background1"/>
          </w:tcPr>
          <w:p w14:paraId="7EA2D14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5.票务管理</w:t>
            </w:r>
          </w:p>
          <w:p w14:paraId="43F01B9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（1）车票库存及调配管理。</w:t>
            </w:r>
          </w:p>
          <w:p w14:paraId="1F0F2B1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①车站库存及调配：车站计算机可对车站车票流转进行管理，实现对车站车票的动态库存管理。</w:t>
            </w:r>
          </w:p>
          <w:p w14:paraId="3E9FB17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②车站库存统计与监视：可自动生成车票在系统流程中的各类统计数据；可实时监控车站设备内车票存量，在车票存量不足、将满以及满的状态下自动给出提示信息。</w:t>
            </w:r>
          </w:p>
        </w:tc>
        <w:tc>
          <w:tcPr>
            <w:tcW w:w="1521" w:type="dxa"/>
            <w:shd w:val="clear" w:color="auto" w:fill="FFFFFF" w:themeFill="background1"/>
            <w:vAlign w:val="center"/>
          </w:tcPr>
          <w:p w14:paraId="6B910D70">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ascii="Times New Roman" w:hAnsi="Times New Roman" w:cs="Times New Roman"/>
                <w:color w:val="auto"/>
                <w:kern w:val="2"/>
                <w:sz w:val="24"/>
                <w:szCs w:val="24"/>
                <w:lang w:val="en-US" w:eastAsia="zh-CN" w:bidi="ar-SA"/>
              </w:rPr>
              <w:t>邀请学生阅读</w:t>
            </w:r>
          </w:p>
        </w:tc>
        <w:tc>
          <w:tcPr>
            <w:tcW w:w="1522" w:type="dxa"/>
            <w:shd w:val="clear" w:color="auto" w:fill="FFFFFF" w:themeFill="background1"/>
            <w:vAlign w:val="center"/>
          </w:tcPr>
          <w:p w14:paraId="36BD6E09">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车站计算机系统的车票库存及调配管理</w:t>
            </w:r>
            <w:r>
              <w:rPr>
                <w:rFonts w:hint="eastAsia" w:ascii="宋体" w:hAnsi="宋体" w:cs="宋体"/>
                <w:color w:val="auto"/>
                <w:kern w:val="0"/>
                <w:sz w:val="24"/>
                <w:szCs w:val="24"/>
                <w:lang w:val="en-US" w:eastAsia="zh-CN" w:bidi="ar"/>
              </w:rPr>
              <w:t>功能</w:t>
            </w:r>
          </w:p>
        </w:tc>
      </w:tr>
      <w:tr w14:paraId="766A2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C2FF9A">
            <w:pPr>
              <w:rPr>
                <w:color w:val="auto"/>
              </w:rPr>
            </w:pPr>
          </w:p>
        </w:tc>
        <w:tc>
          <w:tcPr>
            <w:tcW w:w="5479" w:type="dxa"/>
            <w:shd w:val="clear" w:color="auto" w:fill="FFFFFF" w:themeFill="background1"/>
          </w:tcPr>
          <w:p w14:paraId="604DF53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（2）车票交易数据管理。</w:t>
            </w:r>
          </w:p>
          <w:p w14:paraId="1EAAAE6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车站计算机系统的票务管理系统界面如图6-6所示。车票交易数据管理包括车票交易数据的收集、查询及核查。</w:t>
            </w:r>
          </w:p>
          <w:p w14:paraId="7B706BFA">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2533650" cy="1252855"/>
                  <wp:effectExtent l="0" t="0" r="11430" b="1206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2533650" cy="1252855"/>
                          </a:xfrm>
                          <a:prstGeom prst="rect">
                            <a:avLst/>
                          </a:prstGeom>
                          <a:noFill/>
                          <a:ln>
                            <a:noFill/>
                          </a:ln>
                        </pic:spPr>
                      </pic:pic>
                    </a:graphicData>
                  </a:graphic>
                </wp:inline>
              </w:drawing>
            </w:r>
          </w:p>
        </w:tc>
        <w:tc>
          <w:tcPr>
            <w:tcW w:w="1521" w:type="dxa"/>
            <w:shd w:val="clear" w:color="auto" w:fill="FFFFFF" w:themeFill="background1"/>
            <w:vAlign w:val="center"/>
          </w:tcPr>
          <w:p w14:paraId="4E6BE29D">
            <w:pPr>
              <w:keepNext w:val="0"/>
              <w:keepLines w:val="0"/>
              <w:pageBreakBefore w:val="0"/>
              <w:kinsoku/>
              <w:wordWrap/>
              <w:overflowPunct/>
              <w:topLinePunct w:val="0"/>
              <w:autoSpaceDE/>
              <w:autoSpaceDN/>
              <w:bidi w:val="0"/>
              <w:adjustRightInd/>
              <w:snapToGrid/>
              <w:spacing w:line="240" w:lineRule="auto"/>
              <w:textAlignment w:val="auto"/>
              <w:rPr>
                <w:rFonts w:ascii="Calibri" w:hAnsi="Calibri" w:eastAsia="宋体" w:cs="Times New Roman"/>
                <w:color w:val="auto"/>
                <w:kern w:val="2"/>
                <w:sz w:val="21"/>
                <w:szCs w:val="22"/>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72425956">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车站计算机系统的车票交易数据管理</w:t>
            </w:r>
            <w:r>
              <w:rPr>
                <w:rFonts w:hint="eastAsia" w:ascii="宋体" w:hAnsi="宋体" w:cs="宋体"/>
                <w:color w:val="auto"/>
                <w:kern w:val="0"/>
                <w:sz w:val="24"/>
                <w:szCs w:val="24"/>
                <w:lang w:val="en-US" w:eastAsia="zh-CN" w:bidi="ar"/>
              </w:rPr>
              <w:t>功能</w:t>
            </w:r>
          </w:p>
        </w:tc>
      </w:tr>
      <w:tr w14:paraId="7F71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09786AE">
            <w:pPr>
              <w:rPr>
                <w:color w:val="auto"/>
              </w:rPr>
            </w:pPr>
          </w:p>
        </w:tc>
        <w:tc>
          <w:tcPr>
            <w:tcW w:w="5479" w:type="dxa"/>
            <w:shd w:val="clear" w:color="auto" w:fill="FFFFFF" w:themeFill="background1"/>
          </w:tcPr>
          <w:p w14:paraId="0E134A3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6.收益管理</w:t>
            </w:r>
          </w:p>
          <w:p w14:paraId="405A61C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车站计算机系统的收益管理界面如图6-7所示。车站管理人员可通过车站计算机实现车站收益管理，其具备现金管理功能、收益统计及核算功能。</w:t>
            </w:r>
          </w:p>
          <w:p w14:paraId="13B26FC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2548890" cy="1560195"/>
                  <wp:effectExtent l="0" t="0" r="1143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2548890" cy="1560195"/>
                          </a:xfrm>
                          <a:prstGeom prst="rect">
                            <a:avLst/>
                          </a:prstGeom>
                          <a:noFill/>
                          <a:ln>
                            <a:noFill/>
                          </a:ln>
                        </pic:spPr>
                      </pic:pic>
                    </a:graphicData>
                  </a:graphic>
                </wp:inline>
              </w:drawing>
            </w:r>
          </w:p>
        </w:tc>
        <w:tc>
          <w:tcPr>
            <w:tcW w:w="1521" w:type="dxa"/>
            <w:shd w:val="clear" w:color="auto" w:fill="FFFFFF" w:themeFill="background1"/>
            <w:vAlign w:val="center"/>
          </w:tcPr>
          <w:p w14:paraId="7F663863">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s="Times New Roman"/>
                <w:color w:val="auto"/>
                <w:kern w:val="2"/>
                <w:sz w:val="24"/>
                <w:szCs w:val="24"/>
                <w:lang w:val="en-US" w:eastAsia="zh-CN" w:bidi="ar-SA"/>
              </w:rPr>
              <w:t>邀请学生阅读</w:t>
            </w:r>
          </w:p>
        </w:tc>
        <w:tc>
          <w:tcPr>
            <w:tcW w:w="1522" w:type="dxa"/>
            <w:shd w:val="clear" w:color="auto" w:fill="FFFFFF" w:themeFill="background1"/>
            <w:vAlign w:val="center"/>
          </w:tcPr>
          <w:p w14:paraId="01ED15FD">
            <w:pPr>
              <w:keepNext w:val="0"/>
              <w:keepLines w:val="0"/>
              <w:pageBreakBefore w:val="0"/>
              <w:kinsoku/>
              <w:wordWrap/>
              <w:overflowPunct/>
              <w:topLinePunct w:val="0"/>
              <w:autoSpaceDE/>
              <w:autoSpaceDN/>
              <w:bidi w:val="0"/>
              <w:adjustRightInd/>
              <w:snapToGrid/>
              <w:spacing w:line="240" w:lineRule="auto"/>
              <w:textAlignment w:val="auto"/>
              <w:rPr>
                <w:color w:val="auto"/>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车站计算机系统的收益管理</w:t>
            </w:r>
            <w:r>
              <w:rPr>
                <w:rFonts w:hint="eastAsia" w:ascii="宋体" w:hAnsi="宋体" w:cs="宋体"/>
                <w:color w:val="auto"/>
                <w:kern w:val="0"/>
                <w:sz w:val="24"/>
                <w:szCs w:val="24"/>
                <w:lang w:val="en-US" w:eastAsia="zh-CN" w:bidi="ar"/>
              </w:rPr>
              <w:t>功能</w:t>
            </w:r>
          </w:p>
        </w:tc>
      </w:tr>
      <w:tr w14:paraId="1E1AA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7C65E61">
            <w:pPr>
              <w:rPr>
                <w:color w:val="auto"/>
              </w:rPr>
            </w:pPr>
          </w:p>
        </w:tc>
        <w:tc>
          <w:tcPr>
            <w:tcW w:w="5479" w:type="dxa"/>
            <w:shd w:val="clear" w:color="auto" w:fill="FFFFFF" w:themeFill="background1"/>
          </w:tcPr>
          <w:p w14:paraId="747F51E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7.数据管理</w:t>
            </w:r>
          </w:p>
          <w:p w14:paraId="2B7567E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车站计算机系统的设备数据管理界面如图6-8所示。其中，数据类型包括设备状态数据、设备寄存器数据、设备交易数据、车站收益管理及设备维护管理数据。</w:t>
            </w:r>
          </w:p>
          <w:p w14:paraId="60B54290">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2438400" cy="13716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2438400" cy="1371600"/>
                          </a:xfrm>
                          <a:prstGeom prst="rect">
                            <a:avLst/>
                          </a:prstGeom>
                          <a:noFill/>
                          <a:ln>
                            <a:noFill/>
                          </a:ln>
                        </pic:spPr>
                      </pic:pic>
                    </a:graphicData>
                  </a:graphic>
                </wp:inline>
              </w:drawing>
            </w:r>
          </w:p>
          <w:p w14:paraId="76AE70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kern w:val="0"/>
                <w:sz w:val="24"/>
                <w:szCs w:val="24"/>
                <w:lang w:val="en-US" w:eastAsia="zh-CN" w:bidi="ar"/>
              </w:rPr>
              <w:t>在数据处理方面，其能将数据实时或批量上传到LC，同时接收LC下达的运营指令、系统参数及软件更新数据，并下发到相应设备。同时具备数据恢复功能，能自动检查所有车站数据的完整性，能工作在离线运行模式。</w:t>
            </w:r>
          </w:p>
        </w:tc>
        <w:tc>
          <w:tcPr>
            <w:tcW w:w="1521" w:type="dxa"/>
            <w:shd w:val="clear" w:color="auto" w:fill="FFFFFF" w:themeFill="background1"/>
            <w:vAlign w:val="center"/>
          </w:tcPr>
          <w:p w14:paraId="60B82444">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ascii="Times New Roman" w:hAnsi="Times New Roman"/>
                <w:sz w:val="24"/>
                <w:szCs w:val="24"/>
              </w:rPr>
              <w:t>师讲解，学生观</w:t>
            </w:r>
          </w:p>
        </w:tc>
        <w:tc>
          <w:tcPr>
            <w:tcW w:w="1522" w:type="dxa"/>
            <w:shd w:val="clear" w:color="auto" w:fill="FFFFFF" w:themeFill="background1"/>
            <w:vAlign w:val="center"/>
          </w:tcPr>
          <w:p w14:paraId="013D0CA4">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车站计算机系统的数据管理</w:t>
            </w:r>
            <w:r>
              <w:rPr>
                <w:rFonts w:hint="eastAsia" w:ascii="宋体" w:hAnsi="宋体" w:cs="宋体"/>
                <w:color w:val="auto"/>
                <w:kern w:val="0"/>
                <w:sz w:val="24"/>
                <w:szCs w:val="24"/>
                <w:lang w:val="en-US" w:eastAsia="zh-CN" w:bidi="ar"/>
              </w:rPr>
              <w:t>功能</w:t>
            </w:r>
          </w:p>
        </w:tc>
      </w:tr>
      <w:tr w14:paraId="16389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F21DF6D">
            <w:pPr>
              <w:rPr>
                <w:color w:val="auto"/>
              </w:rPr>
            </w:pPr>
          </w:p>
        </w:tc>
        <w:tc>
          <w:tcPr>
            <w:tcW w:w="5479" w:type="dxa"/>
            <w:shd w:val="clear" w:color="auto" w:fill="FFFFFF" w:themeFill="background1"/>
          </w:tcPr>
          <w:p w14:paraId="4D55A1B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8.参数管理</w:t>
            </w:r>
          </w:p>
          <w:p w14:paraId="133D395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车站计算机系统对于系统参数能实现以下功能：</w:t>
            </w:r>
          </w:p>
          <w:p w14:paraId="04C9966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①正确接收、确认并保存LC下达的系统参数。</w:t>
            </w:r>
          </w:p>
          <w:p w14:paraId="5F2EAEA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②将系统参数下载到相关车站设备。</w:t>
            </w:r>
          </w:p>
          <w:p w14:paraId="726A69A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③保存的系统参数能在设置的参数生效时间自动生效。</w:t>
            </w:r>
          </w:p>
          <w:p w14:paraId="623289E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④操作员可查询或打印LC下载的系统参数。</w:t>
            </w:r>
          </w:p>
        </w:tc>
        <w:tc>
          <w:tcPr>
            <w:tcW w:w="1521" w:type="dxa"/>
            <w:shd w:val="clear" w:color="auto" w:fill="FFFFFF" w:themeFill="background1"/>
            <w:vAlign w:val="center"/>
          </w:tcPr>
          <w:p w14:paraId="2821B577">
            <w:pPr>
              <w:keepNext w:val="0"/>
              <w:keepLines w:val="0"/>
              <w:pageBreakBefore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ascii="Times New Roman" w:hAnsi="Times New Roman"/>
                <w:sz w:val="24"/>
                <w:szCs w:val="24"/>
              </w:rPr>
              <w:t>师讲解，学生观</w:t>
            </w:r>
          </w:p>
        </w:tc>
        <w:tc>
          <w:tcPr>
            <w:tcW w:w="1522" w:type="dxa"/>
            <w:shd w:val="clear" w:color="auto" w:fill="FFFFFF" w:themeFill="background1"/>
            <w:vAlign w:val="center"/>
          </w:tcPr>
          <w:p w14:paraId="507A1AB7">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车站计算机系统的参数管理</w:t>
            </w:r>
            <w:r>
              <w:rPr>
                <w:rFonts w:hint="eastAsia" w:ascii="宋体" w:hAnsi="宋体" w:cs="宋体"/>
                <w:color w:val="auto"/>
                <w:kern w:val="0"/>
                <w:sz w:val="24"/>
                <w:szCs w:val="24"/>
                <w:lang w:val="en-US" w:eastAsia="zh-CN" w:bidi="ar"/>
              </w:rPr>
              <w:t>功能</w:t>
            </w:r>
          </w:p>
        </w:tc>
      </w:tr>
      <w:tr w14:paraId="2AD29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DD0DA4A">
            <w:pPr>
              <w:rPr>
                <w:color w:val="auto"/>
              </w:rPr>
            </w:pPr>
          </w:p>
        </w:tc>
        <w:tc>
          <w:tcPr>
            <w:tcW w:w="5479" w:type="dxa"/>
            <w:shd w:val="clear" w:color="auto" w:fill="FFFFFF" w:themeFill="background1"/>
          </w:tcPr>
          <w:p w14:paraId="15A54DE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9.系统管理</w:t>
            </w:r>
          </w:p>
          <w:p w14:paraId="5948650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（1）时钟同步。</w:t>
            </w:r>
          </w:p>
          <w:p w14:paraId="214E68A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计算机系统的系统时钟同步界面如图6-9所示。车站计算机服务器从LC获取时钟信息，并为车站设备提供统一时钟。在车站计算机启动、车站设备启动或在运营开始时，同步系统时钟。在车站计算机发生故障且通信正常时，终端设备可直接与LC时钟同步。</w:t>
            </w:r>
          </w:p>
          <w:p w14:paraId="354A4D3D">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174240" cy="1715135"/>
                  <wp:effectExtent l="0" t="0" r="508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2174240" cy="1715135"/>
                          </a:xfrm>
                          <a:prstGeom prst="rect">
                            <a:avLst/>
                          </a:prstGeom>
                          <a:noFill/>
                          <a:ln>
                            <a:noFill/>
                          </a:ln>
                        </pic:spPr>
                      </pic:pic>
                    </a:graphicData>
                  </a:graphic>
                </wp:inline>
              </w:drawing>
            </w:r>
          </w:p>
        </w:tc>
        <w:tc>
          <w:tcPr>
            <w:tcW w:w="1521" w:type="dxa"/>
            <w:shd w:val="clear" w:color="auto" w:fill="FFFFFF" w:themeFill="background1"/>
            <w:vAlign w:val="center"/>
          </w:tcPr>
          <w:p w14:paraId="18521081">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邀请学生阅读</w:t>
            </w:r>
          </w:p>
        </w:tc>
        <w:tc>
          <w:tcPr>
            <w:tcW w:w="1522" w:type="dxa"/>
            <w:shd w:val="clear" w:color="auto" w:fill="FFFFFF" w:themeFill="background1"/>
            <w:vAlign w:val="center"/>
          </w:tcPr>
          <w:p w14:paraId="356538A0">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车站计算机系统的时钟同步</w:t>
            </w:r>
            <w:r>
              <w:rPr>
                <w:rFonts w:hint="eastAsia" w:ascii="宋体" w:hAnsi="宋体" w:cs="宋体"/>
                <w:color w:val="auto"/>
                <w:kern w:val="0"/>
                <w:sz w:val="24"/>
                <w:szCs w:val="24"/>
                <w:lang w:val="en-US" w:eastAsia="zh-CN" w:bidi="ar"/>
              </w:rPr>
              <w:t>功能</w:t>
            </w:r>
          </w:p>
        </w:tc>
      </w:tr>
      <w:tr w14:paraId="58021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FEB1F8B">
            <w:pPr>
              <w:rPr>
                <w:color w:val="auto"/>
              </w:rPr>
            </w:pPr>
          </w:p>
        </w:tc>
        <w:tc>
          <w:tcPr>
            <w:tcW w:w="5479" w:type="dxa"/>
            <w:shd w:val="clear" w:color="auto" w:fill="FFFFFF" w:themeFill="background1"/>
          </w:tcPr>
          <w:p w14:paraId="7FEBF33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（2）权限管理。</w:t>
            </w:r>
          </w:p>
          <w:p w14:paraId="7EF3739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车站计算机系统的权限管理界面如图6-10所示。在进行操作前，操作员必须输入操作员编号和密码登录，车站计算机应验证操作员的权限是否有效。</w:t>
            </w:r>
          </w:p>
          <w:p w14:paraId="1B0222C3">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3341370" cy="1938020"/>
                  <wp:effectExtent l="0" t="0" r="11430" b="1270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3341370" cy="1938020"/>
                          </a:xfrm>
                          <a:prstGeom prst="rect">
                            <a:avLst/>
                          </a:prstGeom>
                          <a:noFill/>
                          <a:ln>
                            <a:noFill/>
                          </a:ln>
                        </pic:spPr>
                      </pic:pic>
                    </a:graphicData>
                  </a:graphic>
                </wp:inline>
              </w:drawing>
            </w:r>
          </w:p>
        </w:tc>
        <w:tc>
          <w:tcPr>
            <w:tcW w:w="1521" w:type="dxa"/>
            <w:shd w:val="clear" w:color="auto" w:fill="FFFFFF" w:themeFill="background1"/>
            <w:vAlign w:val="center"/>
          </w:tcPr>
          <w:p w14:paraId="51ADCB04">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37C97940">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车站计算机系统的权限管理</w:t>
            </w:r>
            <w:r>
              <w:rPr>
                <w:rFonts w:hint="eastAsia" w:ascii="宋体" w:hAnsi="宋体" w:cs="宋体"/>
                <w:color w:val="auto"/>
                <w:kern w:val="0"/>
                <w:sz w:val="24"/>
                <w:szCs w:val="24"/>
                <w:lang w:val="en-US" w:eastAsia="zh-CN" w:bidi="ar"/>
              </w:rPr>
              <w:t>功能</w:t>
            </w:r>
          </w:p>
        </w:tc>
      </w:tr>
      <w:tr w14:paraId="36DB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B50058E">
            <w:pPr>
              <w:rPr>
                <w:color w:val="auto"/>
              </w:rPr>
            </w:pPr>
          </w:p>
        </w:tc>
        <w:tc>
          <w:tcPr>
            <w:tcW w:w="5479" w:type="dxa"/>
            <w:shd w:val="clear" w:color="auto" w:fill="FFFFFF" w:themeFill="background1"/>
          </w:tcPr>
          <w:p w14:paraId="4087557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（3）日志管理。</w:t>
            </w:r>
          </w:p>
          <w:p w14:paraId="49F9525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车站计算机系统的日志管理界面如图6-11所示。日志应记录操作发生的日期、时间及操作人编号。操作员可根据级别复制或打印相关日志。</w:t>
            </w:r>
          </w:p>
          <w:p w14:paraId="0643D200">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drawing>
                <wp:inline distT="0" distB="0" distL="114300" distR="114300">
                  <wp:extent cx="3339465" cy="2218055"/>
                  <wp:effectExtent l="0" t="0" r="13335"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3339465" cy="2218055"/>
                          </a:xfrm>
                          <a:prstGeom prst="rect">
                            <a:avLst/>
                          </a:prstGeom>
                          <a:noFill/>
                          <a:ln>
                            <a:noFill/>
                          </a:ln>
                        </pic:spPr>
                      </pic:pic>
                    </a:graphicData>
                  </a:graphic>
                </wp:inline>
              </w:drawing>
            </w:r>
          </w:p>
        </w:tc>
        <w:tc>
          <w:tcPr>
            <w:tcW w:w="1521" w:type="dxa"/>
            <w:shd w:val="clear" w:color="auto" w:fill="FFFFFF" w:themeFill="background1"/>
            <w:vAlign w:val="center"/>
          </w:tcPr>
          <w:p w14:paraId="4094AD6B">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172E5998">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帮助</w:t>
            </w:r>
            <w:r>
              <w:rPr>
                <w:rFonts w:hint="eastAsia" w:ascii="Times New Roman" w:hAnsi="Times New Roman"/>
                <w:color w:val="auto"/>
                <w:sz w:val="24"/>
                <w:szCs w:val="24"/>
              </w:rPr>
              <w:t>学生了解</w:t>
            </w:r>
            <w:r>
              <w:rPr>
                <w:rFonts w:hint="eastAsia" w:ascii="宋体" w:hAnsi="宋体" w:eastAsia="宋体" w:cs="宋体"/>
                <w:color w:val="auto"/>
                <w:kern w:val="0"/>
                <w:sz w:val="24"/>
                <w:szCs w:val="24"/>
                <w:lang w:val="en-US" w:eastAsia="zh-CN" w:bidi="ar"/>
              </w:rPr>
              <w:t>车站计算机系统的日志管理</w:t>
            </w:r>
            <w:r>
              <w:rPr>
                <w:rFonts w:hint="eastAsia" w:ascii="宋体" w:hAnsi="宋体" w:cs="宋体"/>
                <w:color w:val="auto"/>
                <w:kern w:val="0"/>
                <w:sz w:val="24"/>
                <w:szCs w:val="24"/>
                <w:lang w:val="en-US" w:eastAsia="zh-CN" w:bidi="ar"/>
              </w:rPr>
              <w:t>功能</w:t>
            </w:r>
          </w:p>
        </w:tc>
      </w:tr>
      <w:tr w14:paraId="36E40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EFE9C92">
            <w:pPr>
              <w:rPr>
                <w:color w:val="auto"/>
              </w:rPr>
            </w:pPr>
          </w:p>
        </w:tc>
        <w:tc>
          <w:tcPr>
            <w:tcW w:w="5479" w:type="dxa"/>
            <w:shd w:val="clear" w:color="auto" w:fill="FFFFFF" w:themeFill="background1"/>
            <w:vAlign w:val="top"/>
          </w:tcPr>
          <w:p w14:paraId="15504A1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10.报表功能</w:t>
            </w:r>
          </w:p>
          <w:p w14:paraId="22CBA39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车站计算机能生成车站收益类报表、客流类报表及库存类报表，运营报表在运营结束后的15min内生成完毕，操作员可查询或打印3个月内不同类型的报表。车站报表类型如表6-1所示。</w:t>
            </w:r>
          </w:p>
          <w:p w14:paraId="7BB34FA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3341370" cy="1616710"/>
                  <wp:effectExtent l="0" t="0" r="1143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3341370" cy="1616710"/>
                          </a:xfrm>
                          <a:prstGeom prst="rect">
                            <a:avLst/>
                          </a:prstGeom>
                          <a:noFill/>
                          <a:ln>
                            <a:noFill/>
                          </a:ln>
                        </pic:spPr>
                      </pic:pic>
                    </a:graphicData>
                  </a:graphic>
                </wp:inline>
              </w:drawing>
            </w:r>
          </w:p>
        </w:tc>
        <w:tc>
          <w:tcPr>
            <w:tcW w:w="1521" w:type="dxa"/>
            <w:shd w:val="clear" w:color="auto" w:fill="FFFFFF" w:themeFill="background1"/>
            <w:vAlign w:val="center"/>
          </w:tcPr>
          <w:p w14:paraId="408456E2">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sz w:val="24"/>
                <w:szCs w:val="24"/>
                <w:lang w:val="en-US" w:eastAsia="zh-CN"/>
              </w:rPr>
            </w:pPr>
            <w:r>
              <w:rPr>
                <w:rFonts w:hint="eastAsia" w:ascii="Times New Roman" w:hAnsi="Times New Roman"/>
                <w:sz w:val="24"/>
                <w:szCs w:val="24"/>
                <w:lang w:val="en-US" w:eastAsia="zh-CN"/>
              </w:rPr>
              <w:t>展示表格</w:t>
            </w:r>
          </w:p>
          <w:p w14:paraId="639B2487">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ascii="Times New Roman" w:hAnsi="Times New Roman"/>
                <w:sz w:val="24"/>
                <w:szCs w:val="24"/>
              </w:rPr>
              <w:t>师讲解，学生观</w:t>
            </w:r>
          </w:p>
        </w:tc>
        <w:tc>
          <w:tcPr>
            <w:tcW w:w="1522" w:type="dxa"/>
            <w:shd w:val="clear" w:color="auto" w:fill="FFFFFF" w:themeFill="background1"/>
            <w:vAlign w:val="center"/>
          </w:tcPr>
          <w:p w14:paraId="3547C5CF">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帮助学生了解车站计算机系统的报表功能</w:t>
            </w:r>
          </w:p>
        </w:tc>
      </w:tr>
      <w:tr w14:paraId="1B2AF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1C8CFD6">
            <w:pPr>
              <w:rPr>
                <w:color w:val="auto"/>
              </w:rPr>
            </w:pPr>
          </w:p>
        </w:tc>
        <w:tc>
          <w:tcPr>
            <w:tcW w:w="5479" w:type="dxa"/>
            <w:shd w:val="clear" w:color="auto" w:fill="FFFFFF" w:themeFill="background1"/>
          </w:tcPr>
          <w:p w14:paraId="1661675D">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kern w:val="2"/>
                <w:sz w:val="24"/>
                <w:szCs w:val="24"/>
                <w:lang w:val="en-US" w:eastAsia="zh-CN" w:bidi="ar-SA"/>
              </w:rPr>
              <w:t>二</w:t>
            </w:r>
            <w:r>
              <w:rPr>
                <w:rFonts w:hint="eastAsia" w:ascii="宋体" w:hAnsi="宋体" w:cs="宋体"/>
                <w:color w:val="auto"/>
                <w:kern w:val="2"/>
                <w:sz w:val="24"/>
                <w:szCs w:val="24"/>
                <w:lang w:val="en-US" w:eastAsia="zh-CN" w:bidi="ar-SA"/>
              </w:rPr>
              <w:t>、</w:t>
            </w:r>
            <w:r>
              <w:rPr>
                <w:rFonts w:hint="eastAsia" w:ascii="宋体" w:hAnsi="宋体" w:eastAsia="宋体" w:cs="宋体"/>
                <w:color w:val="auto"/>
                <w:sz w:val="24"/>
                <w:szCs w:val="24"/>
                <w:lang w:val="en-US" w:eastAsia="zh-CN"/>
              </w:rPr>
              <w:t>任务准备</w:t>
            </w:r>
          </w:p>
          <w:p w14:paraId="6BF70C9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1.实训设备</w:t>
            </w:r>
          </w:p>
          <w:p w14:paraId="36779D4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车站计算机系统、现金若干、车票若干、相关清单和登记表。</w:t>
            </w:r>
          </w:p>
          <w:p w14:paraId="68A543F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2.组织安排</w:t>
            </w:r>
          </w:p>
          <w:p w14:paraId="658CA6A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kern w:val="0"/>
                <w:sz w:val="24"/>
                <w:szCs w:val="24"/>
                <w:lang w:val="en-US" w:eastAsia="zh-CN" w:bidi="ar"/>
              </w:rPr>
              <w:t>以小组为单位，执行登录车站计算机系统、操作车站计算机系统、车站票务管理操作、收益管理操作等操作，并填写相应报表，要求在指定时间完成。</w:t>
            </w:r>
          </w:p>
        </w:tc>
        <w:tc>
          <w:tcPr>
            <w:tcW w:w="1521" w:type="dxa"/>
            <w:shd w:val="clear" w:color="auto" w:fill="FFFFFF" w:themeFill="background1"/>
            <w:vAlign w:val="center"/>
          </w:tcPr>
          <w:p w14:paraId="2CC93CB9">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sz w:val="24"/>
                <w:szCs w:val="24"/>
                <w:lang w:val="en-US"/>
              </w:rPr>
            </w:pPr>
            <w:r>
              <w:rPr>
                <w:rFonts w:hint="eastAsia" w:ascii="Times New Roman" w:hAnsi="Times New Roman"/>
                <w:color w:val="auto"/>
                <w:sz w:val="24"/>
                <w:szCs w:val="24"/>
                <w:lang w:val="en-US" w:eastAsia="zh-CN"/>
              </w:rPr>
              <w:t>教师进行实训设备的分发，对学生进行分组，学生做好实训准备</w:t>
            </w:r>
          </w:p>
        </w:tc>
        <w:tc>
          <w:tcPr>
            <w:tcW w:w="1522" w:type="dxa"/>
            <w:shd w:val="clear" w:color="auto" w:fill="FFFFFF" w:themeFill="background1"/>
            <w:vAlign w:val="center"/>
          </w:tcPr>
          <w:p w14:paraId="710A3821">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为实训任务实施做好准备</w:t>
            </w:r>
          </w:p>
        </w:tc>
      </w:tr>
      <w:tr w14:paraId="1EAE5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69A5D1B">
            <w:pPr>
              <w:rPr>
                <w:color w:val="auto"/>
              </w:rPr>
            </w:pPr>
          </w:p>
        </w:tc>
        <w:tc>
          <w:tcPr>
            <w:tcW w:w="5479" w:type="dxa"/>
            <w:shd w:val="clear" w:color="auto" w:fill="FFFFFF" w:themeFill="background1"/>
          </w:tcPr>
          <w:p w14:paraId="4A0F00E6">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kern w:val="2"/>
                <w:sz w:val="24"/>
                <w:szCs w:val="24"/>
                <w:lang w:val="en-US" w:eastAsia="zh-CN" w:bidi="ar-SA"/>
              </w:rPr>
              <w:t>三</w:t>
            </w:r>
            <w:r>
              <w:rPr>
                <w:rFonts w:hint="eastAsia" w:ascii="宋体" w:hAnsi="宋体" w:cs="宋体"/>
                <w:color w:val="auto"/>
                <w:kern w:val="2"/>
                <w:sz w:val="24"/>
                <w:szCs w:val="24"/>
                <w:lang w:val="en-US" w:eastAsia="zh-CN" w:bidi="ar-SA"/>
              </w:rPr>
              <w:t>、</w:t>
            </w:r>
            <w:r>
              <w:rPr>
                <w:rFonts w:hint="eastAsia" w:ascii="宋体" w:hAnsi="宋体" w:eastAsia="宋体" w:cs="宋体"/>
                <w:color w:val="auto"/>
                <w:sz w:val="24"/>
                <w:szCs w:val="24"/>
                <w:lang w:val="en-US" w:eastAsia="zh-CN"/>
              </w:rPr>
              <w:t>任务实施</w:t>
            </w:r>
          </w:p>
          <w:p w14:paraId="08BD028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1.登录车站计算机系统</w:t>
            </w:r>
          </w:p>
          <w:p w14:paraId="18C1E98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①在“用户登录”对话框（图6-12）中输入用户名和密码，单击“登录”按钮进行验证。验证通过，则进入系统；验证不通过，则给出提示信息。</w:t>
            </w:r>
          </w:p>
          <w:p w14:paraId="78875A76">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8830" cy="2484120"/>
                  <wp:effectExtent l="0" t="0" r="13970" b="1143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6"/>
                          <a:stretch>
                            <a:fillRect/>
                          </a:stretch>
                        </pic:blipFill>
                        <pic:spPr>
                          <a:xfrm>
                            <a:off x="0" y="0"/>
                            <a:ext cx="3338830" cy="2484120"/>
                          </a:xfrm>
                          <a:prstGeom prst="rect">
                            <a:avLst/>
                          </a:prstGeom>
                          <a:noFill/>
                          <a:ln>
                            <a:noFill/>
                          </a:ln>
                        </pic:spPr>
                      </pic:pic>
                    </a:graphicData>
                  </a:graphic>
                </wp:inline>
              </w:drawing>
            </w:r>
          </w:p>
          <w:p w14:paraId="0982AE6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②单击监控系统主界面（图6-13）左侧的导航按钮，打开对应的功能模块。</w:t>
            </w:r>
          </w:p>
          <w:p w14:paraId="57CB909B">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drawing>
                <wp:inline distT="0" distB="0" distL="114300" distR="114300">
                  <wp:extent cx="3341370" cy="1978025"/>
                  <wp:effectExtent l="0" t="0" r="11430" b="3175"/>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7"/>
                          <a:stretch>
                            <a:fillRect/>
                          </a:stretch>
                        </pic:blipFill>
                        <pic:spPr>
                          <a:xfrm>
                            <a:off x="0" y="0"/>
                            <a:ext cx="3341370" cy="1978025"/>
                          </a:xfrm>
                          <a:prstGeom prst="rect">
                            <a:avLst/>
                          </a:prstGeom>
                          <a:noFill/>
                          <a:ln>
                            <a:noFill/>
                          </a:ln>
                        </pic:spPr>
                      </pic:pic>
                    </a:graphicData>
                  </a:graphic>
                </wp:inline>
              </w:drawing>
            </w:r>
          </w:p>
        </w:tc>
        <w:tc>
          <w:tcPr>
            <w:tcW w:w="1521" w:type="dxa"/>
            <w:shd w:val="clear" w:color="auto" w:fill="FFFFFF" w:themeFill="background1"/>
            <w:vAlign w:val="center"/>
          </w:tcPr>
          <w:p w14:paraId="25A3DF1A">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1E29F73F">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登录车站计算机系统</w:t>
            </w:r>
            <w:r>
              <w:rPr>
                <w:rFonts w:hint="eastAsia" w:ascii="宋体" w:hAnsi="宋体" w:cs="宋体"/>
                <w:color w:val="auto"/>
                <w:kern w:val="0"/>
                <w:sz w:val="24"/>
                <w:szCs w:val="24"/>
                <w:lang w:val="en-US" w:eastAsia="zh-CN" w:bidi="ar"/>
              </w:rPr>
              <w:t>的步骤</w:t>
            </w:r>
          </w:p>
        </w:tc>
      </w:tr>
      <w:tr w14:paraId="306BC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86C4CB3">
            <w:pPr>
              <w:rPr>
                <w:color w:val="auto"/>
              </w:rPr>
            </w:pPr>
          </w:p>
        </w:tc>
        <w:tc>
          <w:tcPr>
            <w:tcW w:w="5479" w:type="dxa"/>
            <w:shd w:val="clear" w:color="auto" w:fill="FFFFFF" w:themeFill="background1"/>
          </w:tcPr>
          <w:p w14:paraId="4C7DA59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2.操作车站计算机系统</w:t>
            </w:r>
          </w:p>
          <w:p w14:paraId="5A24B04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（1）设备监控。</w:t>
            </w:r>
          </w:p>
          <w:p w14:paraId="13B61C8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单击“设备监控”，在打开的界面中对线路站点进行管理，对站点设备进行管理［图6-14（a）］、状态监控、运营数据统计、指令下发、设备详细信息［图6-14（b）］及交易记录查看等。</w:t>
            </w:r>
          </w:p>
          <w:p w14:paraId="29A9A5C9">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40100" cy="1678305"/>
                  <wp:effectExtent l="0" t="0" r="12700" b="1714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8"/>
                          <a:stretch>
                            <a:fillRect/>
                          </a:stretch>
                        </pic:blipFill>
                        <pic:spPr>
                          <a:xfrm>
                            <a:off x="0" y="0"/>
                            <a:ext cx="3340100" cy="1678305"/>
                          </a:xfrm>
                          <a:prstGeom prst="rect">
                            <a:avLst/>
                          </a:prstGeom>
                          <a:noFill/>
                          <a:ln>
                            <a:noFill/>
                          </a:ln>
                        </pic:spPr>
                      </pic:pic>
                    </a:graphicData>
                  </a:graphic>
                </wp:inline>
              </w:drawing>
            </w:r>
          </w:p>
        </w:tc>
        <w:tc>
          <w:tcPr>
            <w:tcW w:w="1521" w:type="dxa"/>
            <w:shd w:val="clear" w:color="auto" w:fill="FFFFFF" w:themeFill="background1"/>
            <w:vAlign w:val="center"/>
          </w:tcPr>
          <w:p w14:paraId="794326F0">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73AE32A0">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车站计算机系统设备监控</w:t>
            </w:r>
            <w:r>
              <w:rPr>
                <w:rFonts w:hint="eastAsia" w:ascii="宋体" w:hAnsi="宋体" w:cs="宋体"/>
                <w:color w:val="auto"/>
                <w:kern w:val="0"/>
                <w:sz w:val="24"/>
                <w:szCs w:val="24"/>
                <w:lang w:val="en-US" w:eastAsia="zh-CN" w:bidi="ar"/>
              </w:rPr>
              <w:t>的操作</w:t>
            </w:r>
          </w:p>
        </w:tc>
      </w:tr>
      <w:tr w14:paraId="793D8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543CD94">
            <w:pPr>
              <w:rPr>
                <w:color w:val="auto"/>
              </w:rPr>
            </w:pPr>
          </w:p>
        </w:tc>
        <w:tc>
          <w:tcPr>
            <w:tcW w:w="5479" w:type="dxa"/>
            <w:shd w:val="clear" w:color="auto" w:fill="FFFFFF" w:themeFill="background1"/>
          </w:tcPr>
          <w:p w14:paraId="5864E48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（2）设备状态。</w:t>
            </w:r>
          </w:p>
          <w:p w14:paraId="0682004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单击“设备状态”，在打开的界面（图6-15）中对设备当前服务模式、运营模式及主要模块状态提供列表显示，按设备类型及设备代码更新设备状态信息。</w:t>
            </w:r>
          </w:p>
          <w:p w14:paraId="1AD4626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1210" cy="2108200"/>
                  <wp:effectExtent l="0" t="0" r="2540" b="635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9"/>
                          <a:stretch>
                            <a:fillRect/>
                          </a:stretch>
                        </pic:blipFill>
                        <pic:spPr>
                          <a:xfrm>
                            <a:off x="0" y="0"/>
                            <a:ext cx="3331210" cy="2108200"/>
                          </a:xfrm>
                          <a:prstGeom prst="rect">
                            <a:avLst/>
                          </a:prstGeom>
                          <a:noFill/>
                          <a:ln>
                            <a:noFill/>
                          </a:ln>
                        </pic:spPr>
                      </pic:pic>
                    </a:graphicData>
                  </a:graphic>
                </wp:inline>
              </w:drawing>
            </w:r>
          </w:p>
        </w:tc>
        <w:tc>
          <w:tcPr>
            <w:tcW w:w="1521" w:type="dxa"/>
            <w:shd w:val="clear" w:color="auto" w:fill="FFFFFF" w:themeFill="background1"/>
            <w:vAlign w:val="center"/>
          </w:tcPr>
          <w:p w14:paraId="42FED86E">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sz w:val="24"/>
                <w:szCs w:val="24"/>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6EFA9C59">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车站计算机系统设备状态</w:t>
            </w:r>
            <w:r>
              <w:rPr>
                <w:rFonts w:hint="eastAsia" w:ascii="宋体" w:hAnsi="宋体" w:cs="宋体"/>
                <w:color w:val="auto"/>
                <w:kern w:val="0"/>
                <w:sz w:val="24"/>
                <w:szCs w:val="24"/>
                <w:lang w:val="en-US" w:eastAsia="zh-CN" w:bidi="ar"/>
              </w:rPr>
              <w:t>的操作</w:t>
            </w:r>
          </w:p>
        </w:tc>
      </w:tr>
      <w:tr w14:paraId="1A558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5BC1908">
            <w:pPr>
              <w:rPr>
                <w:color w:val="auto"/>
              </w:rPr>
            </w:pPr>
          </w:p>
        </w:tc>
        <w:tc>
          <w:tcPr>
            <w:tcW w:w="5479" w:type="dxa"/>
            <w:shd w:val="clear" w:color="auto" w:fill="FFFFFF" w:themeFill="background1"/>
          </w:tcPr>
          <w:p w14:paraId="0D40927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（3）事件记录。</w:t>
            </w:r>
          </w:p>
          <w:p w14:paraId="36B543F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单击“事件记录”，在打开的界面（图6-16）中查阅设备状态事件、故障信息记录、运营信息记录、预警信息记录等。</w:t>
            </w:r>
          </w:p>
          <w:p w14:paraId="2C363E3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40100" cy="2031365"/>
                  <wp:effectExtent l="0" t="0" r="12700" b="698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0"/>
                          <a:stretch>
                            <a:fillRect/>
                          </a:stretch>
                        </pic:blipFill>
                        <pic:spPr>
                          <a:xfrm>
                            <a:off x="0" y="0"/>
                            <a:ext cx="3340100" cy="2031365"/>
                          </a:xfrm>
                          <a:prstGeom prst="rect">
                            <a:avLst/>
                          </a:prstGeom>
                          <a:noFill/>
                          <a:ln>
                            <a:noFill/>
                          </a:ln>
                        </pic:spPr>
                      </pic:pic>
                    </a:graphicData>
                  </a:graphic>
                </wp:inline>
              </w:drawing>
            </w:r>
          </w:p>
        </w:tc>
        <w:tc>
          <w:tcPr>
            <w:tcW w:w="1521" w:type="dxa"/>
            <w:shd w:val="clear" w:color="auto" w:fill="FFFFFF" w:themeFill="background1"/>
            <w:vAlign w:val="center"/>
          </w:tcPr>
          <w:p w14:paraId="6433F616">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351D9EA2">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车站计算机系统事件记录</w:t>
            </w:r>
            <w:r>
              <w:rPr>
                <w:rFonts w:hint="eastAsia" w:ascii="宋体" w:hAnsi="宋体" w:cs="宋体"/>
                <w:color w:val="auto"/>
                <w:kern w:val="0"/>
                <w:sz w:val="24"/>
                <w:szCs w:val="24"/>
                <w:lang w:val="en-US" w:eastAsia="zh-CN" w:bidi="ar"/>
              </w:rPr>
              <w:t>的操作</w:t>
            </w:r>
          </w:p>
        </w:tc>
      </w:tr>
      <w:tr w14:paraId="06C53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B9A5FA2">
            <w:pPr>
              <w:rPr>
                <w:color w:val="auto"/>
              </w:rPr>
            </w:pPr>
          </w:p>
        </w:tc>
        <w:tc>
          <w:tcPr>
            <w:tcW w:w="5479" w:type="dxa"/>
            <w:shd w:val="clear" w:color="auto" w:fill="FFFFFF" w:themeFill="background1"/>
          </w:tcPr>
          <w:p w14:paraId="6BEFC03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（4）设备交易。</w:t>
            </w:r>
          </w:p>
          <w:p w14:paraId="4AED5D7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单击“设备交易”，在打开的界面（图6-17）中查询分析所有设备所有交易类型的交易数量与金额等。</w:t>
            </w:r>
          </w:p>
          <w:p w14:paraId="205244E2">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1210" cy="2108200"/>
                  <wp:effectExtent l="0" t="0" r="2540" b="635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1"/>
                          <a:stretch>
                            <a:fillRect/>
                          </a:stretch>
                        </pic:blipFill>
                        <pic:spPr>
                          <a:xfrm>
                            <a:off x="0" y="0"/>
                            <a:ext cx="3331210" cy="2108200"/>
                          </a:xfrm>
                          <a:prstGeom prst="rect">
                            <a:avLst/>
                          </a:prstGeom>
                          <a:noFill/>
                          <a:ln>
                            <a:noFill/>
                          </a:ln>
                        </pic:spPr>
                      </pic:pic>
                    </a:graphicData>
                  </a:graphic>
                </wp:inline>
              </w:drawing>
            </w:r>
          </w:p>
        </w:tc>
        <w:tc>
          <w:tcPr>
            <w:tcW w:w="1521" w:type="dxa"/>
            <w:shd w:val="clear" w:color="auto" w:fill="FFFFFF" w:themeFill="background1"/>
            <w:vAlign w:val="center"/>
          </w:tcPr>
          <w:p w14:paraId="69B59714">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5C96B9BC">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车站计算机系统设备交易</w:t>
            </w:r>
            <w:r>
              <w:rPr>
                <w:rFonts w:hint="eastAsia" w:ascii="宋体" w:hAnsi="宋体" w:cs="宋体"/>
                <w:color w:val="auto"/>
                <w:kern w:val="0"/>
                <w:sz w:val="24"/>
                <w:szCs w:val="24"/>
                <w:lang w:val="en-US" w:eastAsia="zh-CN" w:bidi="ar"/>
              </w:rPr>
              <w:t>的操作</w:t>
            </w:r>
          </w:p>
        </w:tc>
      </w:tr>
      <w:tr w14:paraId="6B107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F253DC7">
            <w:pPr>
              <w:rPr>
                <w:color w:val="auto"/>
              </w:rPr>
            </w:pPr>
          </w:p>
        </w:tc>
        <w:tc>
          <w:tcPr>
            <w:tcW w:w="5479" w:type="dxa"/>
            <w:shd w:val="clear" w:color="auto" w:fill="FFFFFF" w:themeFill="background1"/>
          </w:tcPr>
          <w:p w14:paraId="326EA88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（5）车站控制。</w:t>
            </w:r>
          </w:p>
          <w:p w14:paraId="4BDDAD7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单击“车站控制”，在打开的界面［图6-18（a）］中可设置多套设备控制时间表，实现设备自动开始服务、停止服务、闸机通道方向转换；可设置车站运营模式［图6-18（b）］。</w:t>
            </w:r>
          </w:p>
          <w:p w14:paraId="27243432">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9465" cy="3434715"/>
                  <wp:effectExtent l="0" t="0" r="13335" b="1333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22"/>
                          <a:stretch>
                            <a:fillRect/>
                          </a:stretch>
                        </pic:blipFill>
                        <pic:spPr>
                          <a:xfrm>
                            <a:off x="0" y="0"/>
                            <a:ext cx="3339465" cy="3434715"/>
                          </a:xfrm>
                          <a:prstGeom prst="rect">
                            <a:avLst/>
                          </a:prstGeom>
                          <a:noFill/>
                          <a:ln>
                            <a:noFill/>
                          </a:ln>
                        </pic:spPr>
                      </pic:pic>
                    </a:graphicData>
                  </a:graphic>
                </wp:inline>
              </w:drawing>
            </w:r>
          </w:p>
        </w:tc>
        <w:tc>
          <w:tcPr>
            <w:tcW w:w="1521" w:type="dxa"/>
            <w:shd w:val="clear" w:color="auto" w:fill="FFFFFF" w:themeFill="background1"/>
            <w:vAlign w:val="center"/>
          </w:tcPr>
          <w:p w14:paraId="59995CEB">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170FE85E">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车站计算机系统车站控制</w:t>
            </w:r>
            <w:r>
              <w:rPr>
                <w:rFonts w:hint="eastAsia" w:ascii="宋体" w:hAnsi="宋体" w:cs="宋体"/>
                <w:color w:val="auto"/>
                <w:kern w:val="0"/>
                <w:sz w:val="24"/>
                <w:szCs w:val="24"/>
                <w:lang w:val="en-US" w:eastAsia="zh-CN" w:bidi="ar"/>
              </w:rPr>
              <w:t>的操作</w:t>
            </w:r>
          </w:p>
        </w:tc>
      </w:tr>
      <w:tr w14:paraId="2573F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446E9B1">
            <w:pPr>
              <w:rPr>
                <w:color w:val="auto"/>
              </w:rPr>
            </w:pPr>
          </w:p>
        </w:tc>
        <w:tc>
          <w:tcPr>
            <w:tcW w:w="5479" w:type="dxa"/>
            <w:shd w:val="clear" w:color="auto" w:fill="FFFFFF" w:themeFill="background1"/>
          </w:tcPr>
          <w:p w14:paraId="0DB8DAB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3.车站票务管理操作</w:t>
            </w:r>
          </w:p>
          <w:p w14:paraId="48408D2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（1）配发车票接收。</w:t>
            </w:r>
          </w:p>
          <w:p w14:paraId="48F0E73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操作配发车票接收界面，如图6-19所示。记录某车站接收由上级配发车票的数据，实现对数据进行增加、审核、作废等维护操作。</w:t>
            </w:r>
          </w:p>
          <w:p w14:paraId="5FD1CF85">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40735" cy="1810385"/>
                  <wp:effectExtent l="0" t="0" r="12065" b="18415"/>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23"/>
                          <a:stretch>
                            <a:fillRect/>
                          </a:stretch>
                        </pic:blipFill>
                        <pic:spPr>
                          <a:xfrm>
                            <a:off x="0" y="0"/>
                            <a:ext cx="3340735" cy="1810385"/>
                          </a:xfrm>
                          <a:prstGeom prst="rect">
                            <a:avLst/>
                          </a:prstGeom>
                          <a:noFill/>
                          <a:ln>
                            <a:noFill/>
                          </a:ln>
                        </pic:spPr>
                      </pic:pic>
                    </a:graphicData>
                  </a:graphic>
                </wp:inline>
              </w:drawing>
            </w:r>
          </w:p>
        </w:tc>
        <w:tc>
          <w:tcPr>
            <w:tcW w:w="1521" w:type="dxa"/>
            <w:shd w:val="clear" w:color="auto" w:fill="FFFFFF" w:themeFill="background1"/>
            <w:vAlign w:val="center"/>
          </w:tcPr>
          <w:p w14:paraId="028658C6">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540904F9">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车站票务管理配发车票接收</w:t>
            </w:r>
            <w:r>
              <w:rPr>
                <w:rFonts w:hint="eastAsia" w:ascii="宋体" w:hAnsi="宋体" w:cs="宋体"/>
                <w:color w:val="auto"/>
                <w:kern w:val="0"/>
                <w:sz w:val="24"/>
                <w:szCs w:val="24"/>
                <w:lang w:val="en-US" w:eastAsia="zh-CN" w:bidi="ar"/>
              </w:rPr>
              <w:t>的操作</w:t>
            </w:r>
          </w:p>
        </w:tc>
      </w:tr>
      <w:tr w14:paraId="423B5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B07C16E">
            <w:pPr>
              <w:rPr>
                <w:color w:val="auto"/>
              </w:rPr>
            </w:pPr>
          </w:p>
        </w:tc>
        <w:tc>
          <w:tcPr>
            <w:tcW w:w="5479" w:type="dxa"/>
            <w:shd w:val="clear" w:color="auto" w:fill="FFFFFF" w:themeFill="background1"/>
          </w:tcPr>
          <w:p w14:paraId="11AC9E0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（2）计划车票上交。</w:t>
            </w:r>
          </w:p>
          <w:p w14:paraId="1AA8187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操作计划车票上交界面，如图6-20所示。记录车站向上级上交车票的数据，实现对数据进行增加、修改、审核、作废等维护操作。</w:t>
            </w:r>
          </w:p>
          <w:p w14:paraId="60473267">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5655" cy="1748155"/>
                  <wp:effectExtent l="0" t="0" r="17145" b="4445"/>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24"/>
                          <a:stretch>
                            <a:fillRect/>
                          </a:stretch>
                        </pic:blipFill>
                        <pic:spPr>
                          <a:xfrm>
                            <a:off x="0" y="0"/>
                            <a:ext cx="3335655" cy="1748155"/>
                          </a:xfrm>
                          <a:prstGeom prst="rect">
                            <a:avLst/>
                          </a:prstGeom>
                          <a:noFill/>
                          <a:ln>
                            <a:noFill/>
                          </a:ln>
                        </pic:spPr>
                      </pic:pic>
                    </a:graphicData>
                  </a:graphic>
                </wp:inline>
              </w:drawing>
            </w:r>
          </w:p>
        </w:tc>
        <w:tc>
          <w:tcPr>
            <w:tcW w:w="1521" w:type="dxa"/>
            <w:shd w:val="clear" w:color="auto" w:fill="FFFFFF" w:themeFill="background1"/>
            <w:vAlign w:val="center"/>
          </w:tcPr>
          <w:p w14:paraId="27243B98">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77FBDAC2">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车站票务管理计划车票上交</w:t>
            </w:r>
            <w:r>
              <w:rPr>
                <w:rFonts w:hint="eastAsia" w:ascii="宋体" w:hAnsi="宋体" w:cs="宋体"/>
                <w:color w:val="auto"/>
                <w:kern w:val="0"/>
                <w:sz w:val="24"/>
                <w:szCs w:val="24"/>
                <w:lang w:val="en-US" w:eastAsia="zh-CN" w:bidi="ar"/>
              </w:rPr>
              <w:t>的操作</w:t>
            </w:r>
          </w:p>
        </w:tc>
      </w:tr>
      <w:tr w14:paraId="04795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E3A0D52">
            <w:pPr>
              <w:rPr>
                <w:color w:val="auto"/>
              </w:rPr>
            </w:pPr>
          </w:p>
        </w:tc>
        <w:tc>
          <w:tcPr>
            <w:tcW w:w="5479" w:type="dxa"/>
            <w:shd w:val="clear" w:color="auto" w:fill="FFFFFF" w:themeFill="background1"/>
          </w:tcPr>
          <w:p w14:paraId="7B9F276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（3）站间车票调拨。</w:t>
            </w:r>
          </w:p>
          <w:p w14:paraId="616D261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操作站间车票调拨界面，如图6-21所示。记录从其他系统调入车票［图6-21（a）］或本车站向其他系统调出车票［图6-21（b）］的数据，实现对数据进行增加、修改、审核、作废等维护操作。</w:t>
            </w:r>
          </w:p>
          <w:p w14:paraId="35A1CCDB">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40100" cy="4565650"/>
                  <wp:effectExtent l="0" t="0" r="12700" b="6350"/>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pic:cNvPicPr>
                            <a:picLocks noChangeAspect="1"/>
                          </pic:cNvPicPr>
                        </pic:nvPicPr>
                        <pic:blipFill>
                          <a:blip r:embed="rId25"/>
                          <a:stretch>
                            <a:fillRect/>
                          </a:stretch>
                        </pic:blipFill>
                        <pic:spPr>
                          <a:xfrm>
                            <a:off x="0" y="0"/>
                            <a:ext cx="3340100" cy="4565650"/>
                          </a:xfrm>
                          <a:prstGeom prst="rect">
                            <a:avLst/>
                          </a:prstGeom>
                          <a:noFill/>
                          <a:ln>
                            <a:noFill/>
                          </a:ln>
                        </pic:spPr>
                      </pic:pic>
                    </a:graphicData>
                  </a:graphic>
                </wp:inline>
              </w:drawing>
            </w:r>
          </w:p>
        </w:tc>
        <w:tc>
          <w:tcPr>
            <w:tcW w:w="1521" w:type="dxa"/>
            <w:shd w:val="clear" w:color="auto" w:fill="FFFFFF" w:themeFill="background1"/>
            <w:vAlign w:val="center"/>
          </w:tcPr>
          <w:p w14:paraId="4AD11B81">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4EF26DB9">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车站票务管理站间车票调拨</w:t>
            </w:r>
            <w:r>
              <w:rPr>
                <w:rFonts w:hint="eastAsia" w:ascii="宋体" w:hAnsi="宋体" w:cs="宋体"/>
                <w:color w:val="auto"/>
                <w:kern w:val="0"/>
                <w:sz w:val="24"/>
                <w:szCs w:val="24"/>
                <w:lang w:val="en-US" w:eastAsia="zh-CN" w:bidi="ar"/>
              </w:rPr>
              <w:t>的操作</w:t>
            </w:r>
          </w:p>
        </w:tc>
      </w:tr>
      <w:tr w14:paraId="7A807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455A6D3">
            <w:pPr>
              <w:rPr>
                <w:color w:val="auto"/>
              </w:rPr>
            </w:pPr>
          </w:p>
        </w:tc>
        <w:tc>
          <w:tcPr>
            <w:tcW w:w="5479" w:type="dxa"/>
            <w:shd w:val="clear" w:color="auto" w:fill="FFFFFF" w:themeFill="background1"/>
          </w:tcPr>
          <w:p w14:paraId="7E3A319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（4）车票库存查询。</w:t>
            </w:r>
          </w:p>
          <w:p w14:paraId="6AF396E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操作车票库存查询界面，如图6-22所示。实现库存信息的数据记录（注意：只可对库存数据进行查询操作）。</w:t>
            </w:r>
          </w:p>
          <w:p w14:paraId="7F45F203">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5655" cy="1880870"/>
                  <wp:effectExtent l="0" t="0" r="17145" b="508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pic:cNvPicPr>
                            <a:picLocks noChangeAspect="1"/>
                          </pic:cNvPicPr>
                        </pic:nvPicPr>
                        <pic:blipFill>
                          <a:blip r:embed="rId26"/>
                          <a:stretch>
                            <a:fillRect/>
                          </a:stretch>
                        </pic:blipFill>
                        <pic:spPr>
                          <a:xfrm>
                            <a:off x="0" y="0"/>
                            <a:ext cx="3335655" cy="1880870"/>
                          </a:xfrm>
                          <a:prstGeom prst="rect">
                            <a:avLst/>
                          </a:prstGeom>
                          <a:noFill/>
                          <a:ln>
                            <a:noFill/>
                          </a:ln>
                        </pic:spPr>
                      </pic:pic>
                    </a:graphicData>
                  </a:graphic>
                </wp:inline>
              </w:drawing>
            </w:r>
          </w:p>
        </w:tc>
        <w:tc>
          <w:tcPr>
            <w:tcW w:w="1521" w:type="dxa"/>
            <w:shd w:val="clear" w:color="auto" w:fill="FFFFFF" w:themeFill="background1"/>
            <w:vAlign w:val="center"/>
          </w:tcPr>
          <w:p w14:paraId="13FFAAA7">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62F25324">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车站票务管理车票库存查询</w:t>
            </w:r>
            <w:r>
              <w:rPr>
                <w:rFonts w:hint="eastAsia" w:ascii="宋体" w:hAnsi="宋体" w:cs="宋体"/>
                <w:color w:val="auto"/>
                <w:kern w:val="0"/>
                <w:sz w:val="24"/>
                <w:szCs w:val="24"/>
                <w:lang w:val="en-US" w:eastAsia="zh-CN" w:bidi="ar"/>
              </w:rPr>
              <w:t>的操作</w:t>
            </w:r>
          </w:p>
        </w:tc>
      </w:tr>
      <w:tr w14:paraId="73995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9CE1B83">
            <w:pPr>
              <w:rPr>
                <w:color w:val="auto"/>
              </w:rPr>
            </w:pPr>
          </w:p>
        </w:tc>
        <w:tc>
          <w:tcPr>
            <w:tcW w:w="5479" w:type="dxa"/>
            <w:shd w:val="clear" w:color="auto" w:fill="FFFFFF" w:themeFill="background1"/>
          </w:tcPr>
          <w:p w14:paraId="2D874E3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4.收益管理操作</w:t>
            </w:r>
          </w:p>
          <w:p w14:paraId="172AD2C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（1）TVM钱箱清点。</w:t>
            </w:r>
          </w:p>
          <w:p w14:paraId="6AB00D5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操作TVM钱箱清点界面，如图6-23所示。实现在对回收的纸币、硬币、找零的钱箱进行清点时，实际清点情况通过本模块将相应信息录入系统，并上传到线路中心。</w:t>
            </w:r>
          </w:p>
          <w:p w14:paraId="7B54F8C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6925" cy="1886585"/>
                  <wp:effectExtent l="0" t="0" r="15875" b="18415"/>
                  <wp:docPr id="2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5"/>
                          <pic:cNvPicPr>
                            <a:picLocks noChangeAspect="1"/>
                          </pic:cNvPicPr>
                        </pic:nvPicPr>
                        <pic:blipFill>
                          <a:blip r:embed="rId27"/>
                          <a:stretch>
                            <a:fillRect/>
                          </a:stretch>
                        </pic:blipFill>
                        <pic:spPr>
                          <a:xfrm>
                            <a:off x="0" y="0"/>
                            <a:ext cx="3336925" cy="1886585"/>
                          </a:xfrm>
                          <a:prstGeom prst="rect">
                            <a:avLst/>
                          </a:prstGeom>
                          <a:noFill/>
                          <a:ln>
                            <a:noFill/>
                          </a:ln>
                        </pic:spPr>
                      </pic:pic>
                    </a:graphicData>
                  </a:graphic>
                </wp:inline>
              </w:drawing>
            </w:r>
          </w:p>
        </w:tc>
        <w:tc>
          <w:tcPr>
            <w:tcW w:w="1521" w:type="dxa"/>
            <w:shd w:val="clear" w:color="auto" w:fill="FFFFFF" w:themeFill="background1"/>
            <w:vAlign w:val="center"/>
          </w:tcPr>
          <w:p w14:paraId="46E3EAC4">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65640FED">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车站收益管理TVM钱箱清点</w:t>
            </w:r>
            <w:r>
              <w:rPr>
                <w:rFonts w:hint="eastAsia" w:ascii="宋体" w:hAnsi="宋体" w:cs="宋体"/>
                <w:color w:val="auto"/>
                <w:kern w:val="0"/>
                <w:sz w:val="24"/>
                <w:szCs w:val="24"/>
                <w:lang w:val="en-US" w:eastAsia="zh-CN" w:bidi="ar"/>
              </w:rPr>
              <w:t>的操作</w:t>
            </w:r>
          </w:p>
        </w:tc>
      </w:tr>
      <w:tr w14:paraId="73B38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3EF685">
            <w:pPr>
              <w:rPr>
                <w:color w:val="auto"/>
              </w:rPr>
            </w:pPr>
          </w:p>
        </w:tc>
        <w:tc>
          <w:tcPr>
            <w:tcW w:w="5479" w:type="dxa"/>
            <w:shd w:val="clear" w:color="auto" w:fill="FFFFFF" w:themeFill="background1"/>
          </w:tcPr>
          <w:p w14:paraId="0B76541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（2）BOM领用上交管理。</w:t>
            </w:r>
          </w:p>
          <w:p w14:paraId="192A2AE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操作BOM领用上交管理界面，如图6-24所示。对已生成的“BOM领用上交”记录进行查询、修改、上传操作。</w:t>
            </w:r>
          </w:p>
          <w:p w14:paraId="3EA7985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9465" cy="1863725"/>
                  <wp:effectExtent l="0" t="0" r="13335" b="3175"/>
                  <wp:docPr id="2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6"/>
                          <pic:cNvPicPr>
                            <a:picLocks noChangeAspect="1"/>
                          </pic:cNvPicPr>
                        </pic:nvPicPr>
                        <pic:blipFill>
                          <a:blip r:embed="rId28"/>
                          <a:stretch>
                            <a:fillRect/>
                          </a:stretch>
                        </pic:blipFill>
                        <pic:spPr>
                          <a:xfrm>
                            <a:off x="0" y="0"/>
                            <a:ext cx="3339465" cy="1863725"/>
                          </a:xfrm>
                          <a:prstGeom prst="rect">
                            <a:avLst/>
                          </a:prstGeom>
                          <a:noFill/>
                          <a:ln>
                            <a:noFill/>
                          </a:ln>
                        </pic:spPr>
                      </pic:pic>
                    </a:graphicData>
                  </a:graphic>
                </wp:inline>
              </w:drawing>
            </w:r>
          </w:p>
        </w:tc>
        <w:tc>
          <w:tcPr>
            <w:tcW w:w="1521" w:type="dxa"/>
            <w:shd w:val="clear" w:color="auto" w:fill="FFFFFF" w:themeFill="background1"/>
            <w:vAlign w:val="center"/>
          </w:tcPr>
          <w:p w14:paraId="59980D0C">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1C938E9C">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车站收益管理BOM领用上交管理</w:t>
            </w:r>
            <w:r>
              <w:rPr>
                <w:rFonts w:hint="eastAsia" w:ascii="宋体" w:hAnsi="宋体" w:cs="宋体"/>
                <w:color w:val="auto"/>
                <w:kern w:val="0"/>
                <w:sz w:val="24"/>
                <w:szCs w:val="24"/>
                <w:lang w:val="en-US" w:eastAsia="zh-CN" w:bidi="ar"/>
              </w:rPr>
              <w:t>的操作</w:t>
            </w:r>
          </w:p>
        </w:tc>
      </w:tr>
      <w:tr w14:paraId="18AB91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6BF6F45">
            <w:pPr>
              <w:rPr>
                <w:color w:val="auto"/>
              </w:rPr>
            </w:pPr>
          </w:p>
        </w:tc>
        <w:tc>
          <w:tcPr>
            <w:tcW w:w="5479" w:type="dxa"/>
            <w:shd w:val="clear" w:color="auto" w:fill="FFFFFF" w:themeFill="background1"/>
          </w:tcPr>
          <w:p w14:paraId="32921CB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（3）特殊票款管理。</w:t>
            </w:r>
          </w:p>
          <w:p w14:paraId="21B0E19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操作特殊票款管理界面，如图6-25所示。在车站的运营过程中，在票务区域或者设备上拾获的现金、客值、交款人或值站可通过本模块将相关现金录入系统。</w:t>
            </w:r>
          </w:p>
          <w:p w14:paraId="3FADF2FF">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1845" cy="1871980"/>
                  <wp:effectExtent l="0" t="0" r="1905" b="13970"/>
                  <wp:docPr id="2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7"/>
                          <pic:cNvPicPr>
                            <a:picLocks noChangeAspect="1"/>
                          </pic:cNvPicPr>
                        </pic:nvPicPr>
                        <pic:blipFill>
                          <a:blip r:embed="rId29"/>
                          <a:stretch>
                            <a:fillRect/>
                          </a:stretch>
                        </pic:blipFill>
                        <pic:spPr>
                          <a:xfrm>
                            <a:off x="0" y="0"/>
                            <a:ext cx="3331845" cy="1871980"/>
                          </a:xfrm>
                          <a:prstGeom prst="rect">
                            <a:avLst/>
                          </a:prstGeom>
                          <a:noFill/>
                          <a:ln>
                            <a:noFill/>
                          </a:ln>
                        </pic:spPr>
                      </pic:pic>
                    </a:graphicData>
                  </a:graphic>
                </wp:inline>
              </w:drawing>
            </w:r>
          </w:p>
        </w:tc>
        <w:tc>
          <w:tcPr>
            <w:tcW w:w="1521" w:type="dxa"/>
            <w:shd w:val="clear" w:color="auto" w:fill="FFFFFF" w:themeFill="background1"/>
            <w:vAlign w:val="center"/>
          </w:tcPr>
          <w:p w14:paraId="05282984">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22836AF4">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车站收益管理特殊票款管理</w:t>
            </w:r>
            <w:r>
              <w:rPr>
                <w:rFonts w:hint="eastAsia" w:ascii="宋体" w:hAnsi="宋体" w:cs="宋体"/>
                <w:color w:val="auto"/>
                <w:kern w:val="0"/>
                <w:sz w:val="24"/>
                <w:szCs w:val="24"/>
                <w:lang w:val="en-US" w:eastAsia="zh-CN" w:bidi="ar"/>
              </w:rPr>
              <w:t>的操作</w:t>
            </w:r>
          </w:p>
        </w:tc>
      </w:tr>
      <w:tr w14:paraId="64E47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767F5C8">
            <w:pPr>
              <w:rPr>
                <w:color w:val="auto"/>
              </w:rPr>
            </w:pPr>
          </w:p>
        </w:tc>
        <w:tc>
          <w:tcPr>
            <w:tcW w:w="5479" w:type="dxa"/>
            <w:shd w:val="clear" w:color="auto" w:fill="FFFFFF" w:themeFill="background1"/>
          </w:tcPr>
          <w:p w14:paraId="372D448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（4）备用金管理。</w:t>
            </w:r>
          </w:p>
          <w:p w14:paraId="2982942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操作备用金管理界面，如图6-26所示。当车站的备用金发生增加或减少时，通过本模块录入系统并上传到线路中心。</w:t>
            </w:r>
          </w:p>
          <w:p w14:paraId="212E844A">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2480" cy="1834515"/>
                  <wp:effectExtent l="0" t="0" r="1270" b="13335"/>
                  <wp:docPr id="3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8"/>
                          <pic:cNvPicPr>
                            <a:picLocks noChangeAspect="1"/>
                          </pic:cNvPicPr>
                        </pic:nvPicPr>
                        <pic:blipFill>
                          <a:blip r:embed="rId30"/>
                          <a:stretch>
                            <a:fillRect/>
                          </a:stretch>
                        </pic:blipFill>
                        <pic:spPr>
                          <a:xfrm>
                            <a:off x="0" y="0"/>
                            <a:ext cx="3332480" cy="1834515"/>
                          </a:xfrm>
                          <a:prstGeom prst="rect">
                            <a:avLst/>
                          </a:prstGeom>
                          <a:noFill/>
                          <a:ln>
                            <a:noFill/>
                          </a:ln>
                        </pic:spPr>
                      </pic:pic>
                    </a:graphicData>
                  </a:graphic>
                </wp:inline>
              </w:drawing>
            </w:r>
          </w:p>
        </w:tc>
        <w:tc>
          <w:tcPr>
            <w:tcW w:w="1521" w:type="dxa"/>
            <w:shd w:val="clear" w:color="auto" w:fill="FFFFFF" w:themeFill="background1"/>
            <w:vAlign w:val="center"/>
          </w:tcPr>
          <w:p w14:paraId="54477F37">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26C4B53A">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车站收益管理备用金管理</w:t>
            </w:r>
            <w:r>
              <w:rPr>
                <w:rFonts w:hint="eastAsia" w:ascii="宋体" w:hAnsi="宋体" w:cs="宋体"/>
                <w:color w:val="auto"/>
                <w:kern w:val="0"/>
                <w:sz w:val="24"/>
                <w:szCs w:val="24"/>
                <w:lang w:val="en-US" w:eastAsia="zh-CN" w:bidi="ar"/>
              </w:rPr>
              <w:t>的操作</w:t>
            </w:r>
          </w:p>
        </w:tc>
      </w:tr>
      <w:tr w14:paraId="54899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A75250D">
            <w:pPr>
              <w:rPr>
                <w:color w:val="auto"/>
              </w:rPr>
            </w:pPr>
          </w:p>
        </w:tc>
        <w:tc>
          <w:tcPr>
            <w:tcW w:w="5479" w:type="dxa"/>
            <w:shd w:val="clear" w:color="auto" w:fill="FFFFFF" w:themeFill="background1"/>
          </w:tcPr>
          <w:p w14:paraId="1AE3B55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（5）解行管理。</w:t>
            </w:r>
          </w:p>
          <w:p w14:paraId="2E08962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操作解行管理界面，如图6-27所示。将解行的钱款信息录入系统，保存并上传到线路中心。</w:t>
            </w:r>
          </w:p>
          <w:p w14:paraId="230E20DC">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3335020" cy="1873885"/>
                  <wp:effectExtent l="0" t="0" r="17780" b="12065"/>
                  <wp:docPr id="3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9"/>
                          <pic:cNvPicPr>
                            <a:picLocks noChangeAspect="1"/>
                          </pic:cNvPicPr>
                        </pic:nvPicPr>
                        <pic:blipFill>
                          <a:blip r:embed="rId31"/>
                          <a:stretch>
                            <a:fillRect/>
                          </a:stretch>
                        </pic:blipFill>
                        <pic:spPr>
                          <a:xfrm>
                            <a:off x="0" y="0"/>
                            <a:ext cx="3335020" cy="1873885"/>
                          </a:xfrm>
                          <a:prstGeom prst="rect">
                            <a:avLst/>
                          </a:prstGeom>
                          <a:noFill/>
                          <a:ln>
                            <a:noFill/>
                          </a:ln>
                        </pic:spPr>
                      </pic:pic>
                    </a:graphicData>
                  </a:graphic>
                </wp:inline>
              </w:drawing>
            </w:r>
          </w:p>
        </w:tc>
        <w:tc>
          <w:tcPr>
            <w:tcW w:w="1521" w:type="dxa"/>
            <w:shd w:val="clear" w:color="auto" w:fill="FFFFFF" w:themeFill="background1"/>
            <w:vAlign w:val="center"/>
          </w:tcPr>
          <w:p w14:paraId="13C2D95B">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lang w:val="en-US" w:eastAsia="zh-CN"/>
              </w:rPr>
              <w:t>展示图片，学生进行系统操作</w:t>
            </w:r>
          </w:p>
        </w:tc>
        <w:tc>
          <w:tcPr>
            <w:tcW w:w="1522" w:type="dxa"/>
            <w:shd w:val="clear" w:color="auto" w:fill="FFFFFF" w:themeFill="background1"/>
            <w:vAlign w:val="center"/>
          </w:tcPr>
          <w:p w14:paraId="17868491">
            <w:pPr>
              <w:keepNext w:val="0"/>
              <w:keepLines w:val="0"/>
              <w:pageBreakBefore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帮助学生掌握</w:t>
            </w:r>
            <w:r>
              <w:rPr>
                <w:rFonts w:hint="eastAsia" w:ascii="宋体" w:hAnsi="宋体" w:eastAsia="宋体" w:cs="宋体"/>
                <w:color w:val="auto"/>
                <w:kern w:val="0"/>
                <w:sz w:val="24"/>
                <w:szCs w:val="24"/>
                <w:lang w:val="en-US" w:eastAsia="zh-CN" w:bidi="ar"/>
              </w:rPr>
              <w:t>车站收益管理解行管理</w:t>
            </w:r>
            <w:r>
              <w:rPr>
                <w:rFonts w:hint="eastAsia" w:ascii="宋体" w:hAnsi="宋体" w:cs="宋体"/>
                <w:color w:val="auto"/>
                <w:kern w:val="0"/>
                <w:sz w:val="24"/>
                <w:szCs w:val="24"/>
                <w:lang w:val="en-US" w:eastAsia="zh-CN" w:bidi="ar"/>
              </w:rPr>
              <w:t>的操作</w:t>
            </w:r>
          </w:p>
        </w:tc>
      </w:tr>
      <w:tr w14:paraId="77235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7463BF5">
            <w:pPr>
              <w:rPr>
                <w:color w:val="auto"/>
              </w:rPr>
            </w:pPr>
          </w:p>
        </w:tc>
        <w:tc>
          <w:tcPr>
            <w:tcW w:w="5479" w:type="dxa"/>
            <w:shd w:val="clear" w:color="auto" w:fill="FFFFFF" w:themeFill="background1"/>
          </w:tcPr>
          <w:p w14:paraId="31CC98EC">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lang w:val="en-US" w:eastAsia="zh-CN"/>
              </w:rPr>
            </w:pPr>
            <w:bookmarkStart w:id="0" w:name="_GoBack"/>
            <w:bookmarkEnd w:id="0"/>
            <w:r>
              <w:rPr>
                <w:rFonts w:hint="eastAsia" w:ascii="宋体" w:hAnsi="宋体" w:eastAsia="宋体" w:cs="宋体"/>
                <w:color w:val="auto"/>
                <w:kern w:val="2"/>
                <w:sz w:val="24"/>
                <w:szCs w:val="24"/>
                <w:lang w:val="en-US" w:eastAsia="zh-CN" w:bidi="ar-SA"/>
              </w:rPr>
              <w:t>四</w:t>
            </w:r>
            <w:r>
              <w:rPr>
                <w:rFonts w:hint="eastAsia" w:ascii="宋体" w:hAnsi="宋体" w:cs="宋体"/>
                <w:color w:val="auto"/>
                <w:kern w:val="2"/>
                <w:sz w:val="24"/>
                <w:szCs w:val="24"/>
                <w:lang w:val="en-US" w:eastAsia="zh-CN" w:bidi="ar-SA"/>
              </w:rPr>
              <w:t>、</w:t>
            </w:r>
            <w:r>
              <w:rPr>
                <w:rFonts w:hint="eastAsia" w:ascii="宋体" w:hAnsi="宋体" w:eastAsia="宋体" w:cs="宋体"/>
                <w:color w:val="auto"/>
                <w:sz w:val="24"/>
                <w:szCs w:val="24"/>
                <w:lang w:val="en-US" w:eastAsia="zh-CN"/>
              </w:rPr>
              <w:t>任务评价</w:t>
            </w:r>
          </w:p>
          <w:p w14:paraId="5C118A0B">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drawing>
                <wp:inline distT="0" distB="0" distL="114300" distR="114300">
                  <wp:extent cx="3337560" cy="3760470"/>
                  <wp:effectExtent l="0" t="0" r="15240" b="11430"/>
                  <wp:docPr id="3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0"/>
                          <pic:cNvPicPr>
                            <a:picLocks noChangeAspect="1"/>
                          </pic:cNvPicPr>
                        </pic:nvPicPr>
                        <pic:blipFill>
                          <a:blip r:embed="rId32"/>
                          <a:stretch>
                            <a:fillRect/>
                          </a:stretch>
                        </pic:blipFill>
                        <pic:spPr>
                          <a:xfrm>
                            <a:off x="0" y="0"/>
                            <a:ext cx="3337560" cy="3760470"/>
                          </a:xfrm>
                          <a:prstGeom prst="rect">
                            <a:avLst/>
                          </a:prstGeom>
                          <a:noFill/>
                          <a:ln>
                            <a:noFill/>
                          </a:ln>
                        </pic:spPr>
                      </pic:pic>
                    </a:graphicData>
                  </a:graphic>
                </wp:inline>
              </w:drawing>
            </w:r>
          </w:p>
        </w:tc>
        <w:tc>
          <w:tcPr>
            <w:tcW w:w="1521" w:type="dxa"/>
            <w:shd w:val="clear" w:color="auto" w:fill="FFFFFF" w:themeFill="background1"/>
            <w:vAlign w:val="center"/>
          </w:tcPr>
          <w:p w14:paraId="363512D8">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学生进行自评、互评，教师进行评价</w:t>
            </w:r>
          </w:p>
        </w:tc>
        <w:tc>
          <w:tcPr>
            <w:tcW w:w="1522" w:type="dxa"/>
            <w:shd w:val="clear" w:color="auto" w:fill="FFFFFF" w:themeFill="background1"/>
            <w:vAlign w:val="center"/>
          </w:tcPr>
          <w:p w14:paraId="2B7F3B3A">
            <w:pPr>
              <w:keepNext w:val="0"/>
              <w:keepLines w:val="0"/>
              <w:pageBreakBefore w:val="0"/>
              <w:kinsoku/>
              <w:wordWrap/>
              <w:overflowPunct/>
              <w:topLinePunct w:val="0"/>
              <w:autoSpaceDE/>
              <w:autoSpaceDN/>
              <w:bidi w:val="0"/>
              <w:adjustRightInd/>
              <w:snapToGrid/>
              <w:spacing w:line="240" w:lineRule="auto"/>
              <w:textAlignment w:val="auto"/>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帮助学生了解学习效果，教师掌握教学情况</w:t>
            </w:r>
          </w:p>
        </w:tc>
      </w:tr>
      <w:tr w14:paraId="4C521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56F3C0C8">
            <w:pPr>
              <w:rPr>
                <w:rFonts w:hint="eastAsia" w:eastAsia="宋体"/>
                <w:color w:val="auto"/>
                <w:lang w:val="en-US" w:eastAsia="zh-CN"/>
              </w:rPr>
            </w:pPr>
            <w:r>
              <w:rPr>
                <w:rFonts w:hint="eastAsia" w:ascii="宋体" w:cs="宋体"/>
                <w:b/>
                <w:color w:val="auto"/>
                <w:sz w:val="28"/>
                <w:lang w:val="en-US" w:eastAsia="zh-CN"/>
              </w:rPr>
              <w:t>任务提升</w:t>
            </w:r>
          </w:p>
        </w:tc>
        <w:tc>
          <w:tcPr>
            <w:tcW w:w="8522" w:type="dxa"/>
            <w:gridSpan w:val="3"/>
            <w:shd w:val="clear" w:color="000000" w:fill="FFFFFF"/>
            <w:vAlign w:val="center"/>
          </w:tcPr>
          <w:p w14:paraId="522F1EF3">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（一）判断题</w:t>
            </w:r>
          </w:p>
          <w:p w14:paraId="6EB190A6">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1.车站计算机系统是确保自动售检票系统稳定运行的重要环节，它负责将车站内的各种票务数据和设备状态等上传到线路中心控制系统，并接收其下传的票务参数、运行参数和运行模式命令等。</w:t>
            </w:r>
          </w:p>
          <w:p w14:paraId="7F0F2C8F">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2.车站计算机系统的硬件部分包括计算机主机、终端设备和外围设备等。</w:t>
            </w:r>
          </w:p>
          <w:p w14:paraId="0B97C400">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3.车站计算机系统包括车站服务器、监控工作站、票务工作站、打印机、交换机、网络自动售票机、半自动售票机、自动检票机、列车监控系统、便携式验票机。</w:t>
            </w:r>
          </w:p>
          <w:p w14:paraId="4C10CE19">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4.车站计算机监控车站设备运行状态，自动接收状态变化数据。SC模拟车站设备布置，图形化监控车站网络运行情况、设备通信状态、运行状态及故障情况。</w:t>
            </w:r>
          </w:p>
          <w:p w14:paraId="3D62327A">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5.车站计算机能生成车站收益类报表、客流类报表及库存类报表，运营报表在运营结束后的15min内生成完毕，操作员可查询或打印3个月内不同类型的报表。</w:t>
            </w:r>
          </w:p>
          <w:p w14:paraId="111C1D49">
            <w:pPr>
              <w:spacing w:line="379" w:lineRule="auto"/>
              <w:ind w:right="480"/>
              <w:rPr>
                <w:rFonts w:hint="eastAsia" w:ascii="宋体" w:hAnsi="宋体" w:cs="宋体"/>
                <w:color w:val="auto"/>
                <w:sz w:val="24"/>
                <w:szCs w:val="24"/>
              </w:rPr>
            </w:pPr>
            <w:r>
              <w:rPr>
                <w:rFonts w:hint="eastAsia" w:ascii="宋体" w:hAnsi="宋体" w:cs="宋体"/>
                <w:color w:val="auto"/>
                <w:sz w:val="24"/>
                <w:szCs w:val="24"/>
              </w:rPr>
              <w:t>（二）简答题</w:t>
            </w:r>
          </w:p>
          <w:p w14:paraId="0E85111D">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1.简述车站计算机系统的主要设备组成。</w:t>
            </w:r>
          </w:p>
          <w:p w14:paraId="474C11C2">
            <w:pPr>
              <w:spacing w:line="379" w:lineRule="auto"/>
              <w:ind w:right="480"/>
              <w:rPr>
                <w:rFonts w:ascii="宋体" w:cs="宋体"/>
                <w:color w:val="auto"/>
                <w:sz w:val="24"/>
                <w:szCs w:val="24"/>
              </w:rPr>
            </w:pPr>
            <w:r>
              <w:rPr>
                <w:rFonts w:hint="eastAsia" w:ascii="宋体" w:cs="宋体"/>
                <w:color w:val="auto"/>
                <w:sz w:val="24"/>
                <w:szCs w:val="24"/>
                <w:lang w:val="en-US" w:eastAsia="zh-CN"/>
              </w:rPr>
              <w:t>2.简述车站计算机系统主要功能的操作流程。</w:t>
            </w:r>
          </w:p>
        </w:tc>
      </w:tr>
      <w:tr w14:paraId="3B099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05937F3D">
            <w:pPr>
              <w:rPr>
                <w:color w:val="auto"/>
              </w:rPr>
            </w:pPr>
            <w:r>
              <w:rPr>
                <w:rFonts w:hint="eastAsia" w:ascii="宋体" w:cs="宋体"/>
                <w:b/>
                <w:color w:val="auto"/>
                <w:sz w:val="28"/>
              </w:rPr>
              <w:t>板书设计</w:t>
            </w:r>
          </w:p>
        </w:tc>
        <w:tc>
          <w:tcPr>
            <w:tcW w:w="8522" w:type="dxa"/>
            <w:gridSpan w:val="3"/>
            <w:shd w:val="clear" w:color="000000" w:fill="FFFFFF"/>
          </w:tcPr>
          <w:p w14:paraId="675B0C8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rPr>
              <w:t>模块</w:t>
            </w:r>
            <w:r>
              <w:rPr>
                <w:rFonts w:hint="eastAsia" w:ascii="Times New Roman" w:hAnsi="Times New Roman"/>
                <w:color w:val="auto"/>
                <w:sz w:val="24"/>
                <w:szCs w:val="24"/>
                <w:lang w:val="en-US" w:eastAsia="zh-CN"/>
              </w:rPr>
              <w:t xml:space="preserve">六  </w:t>
            </w:r>
            <w:r>
              <w:rPr>
                <w:rFonts w:hint="eastAsia" w:ascii="Times New Roman" w:hAnsi="Times New Roman"/>
                <w:color w:val="auto"/>
                <w:sz w:val="24"/>
                <w:szCs w:val="24"/>
              </w:rPr>
              <w:t>课题</w:t>
            </w:r>
            <w:r>
              <w:rPr>
                <w:rFonts w:hint="eastAsia" w:ascii="Times New Roman" w:hAnsi="Times New Roman"/>
                <w:color w:val="auto"/>
                <w:sz w:val="24"/>
                <w:szCs w:val="24"/>
                <w:lang w:val="en-US" w:eastAsia="zh-CN"/>
              </w:rPr>
              <w:t>一  操作车站计算机系统</w:t>
            </w:r>
          </w:p>
          <w:p w14:paraId="4C7FC134">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olor w:val="auto"/>
                <w:sz w:val="24"/>
                <w:szCs w:val="24"/>
                <w:lang w:val="en-US" w:eastAsia="zh-CN"/>
              </w:rPr>
            </w:pPr>
            <w:r>
              <w:rPr>
                <w:rFonts w:hint="eastAsia" w:ascii="Times New Roman" w:hAnsi="Times New Roman" w:eastAsia="宋体" w:cs="Times New Roman"/>
                <w:color w:val="auto"/>
                <w:kern w:val="2"/>
                <w:sz w:val="24"/>
                <w:szCs w:val="24"/>
                <w:lang w:val="en-US" w:eastAsia="zh-CN" w:bidi="ar-SA"/>
              </w:rPr>
              <w:t>（一）</w:t>
            </w:r>
            <w:r>
              <w:rPr>
                <w:rFonts w:hint="eastAsia" w:ascii="Times New Roman" w:hAnsi="Times New Roman"/>
                <w:color w:val="auto"/>
                <w:sz w:val="24"/>
                <w:szCs w:val="24"/>
                <w:lang w:val="en-US" w:eastAsia="zh-CN"/>
              </w:rPr>
              <w:t>车站计算机系统概述</w:t>
            </w:r>
          </w:p>
          <w:p w14:paraId="23D997AF">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（二）车站计算机系统的基本架构</w:t>
            </w:r>
          </w:p>
          <w:p w14:paraId="4ED051C6">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1.硬件部分</w:t>
            </w:r>
          </w:p>
          <w:p w14:paraId="178CDA06">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2.软件部分</w:t>
            </w:r>
          </w:p>
          <w:p w14:paraId="57F0AF93">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3.网络部分</w:t>
            </w:r>
          </w:p>
          <w:p w14:paraId="7CDE763B">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（三）车站计算机系统的主要设备</w:t>
            </w:r>
          </w:p>
          <w:p w14:paraId="45D0DF85">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（四）车站计算机系统的主要功能</w:t>
            </w:r>
          </w:p>
          <w:p w14:paraId="41EBE4FB">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1.运营管理</w:t>
            </w:r>
          </w:p>
          <w:p w14:paraId="48987C34">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2.设备控制</w:t>
            </w:r>
          </w:p>
          <w:p w14:paraId="75CAC21D">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3.客流监视</w:t>
            </w:r>
          </w:p>
          <w:p w14:paraId="68165774">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4.运行管理</w:t>
            </w:r>
          </w:p>
          <w:p w14:paraId="026AD121">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5.票务管理</w:t>
            </w:r>
          </w:p>
          <w:p w14:paraId="2D255F75">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6.收益管理</w:t>
            </w:r>
          </w:p>
          <w:p w14:paraId="2AF98B92">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7.数据管理</w:t>
            </w:r>
          </w:p>
          <w:p w14:paraId="4E631A1D">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8.参数管理</w:t>
            </w:r>
          </w:p>
          <w:p w14:paraId="0993932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9.系统管理</w:t>
            </w:r>
          </w:p>
          <w:p w14:paraId="11EB8795">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cs="Calibri"/>
                <w:color w:val="auto"/>
                <w:sz w:val="24"/>
                <w:lang w:val="en-US" w:eastAsia="zh-CN"/>
              </w:rPr>
            </w:pPr>
            <w:r>
              <w:rPr>
                <w:rFonts w:hint="eastAsia" w:ascii="Times New Roman" w:hAnsi="Times New Roman"/>
                <w:color w:val="auto"/>
                <w:sz w:val="24"/>
                <w:szCs w:val="24"/>
                <w:lang w:val="en-US" w:eastAsia="zh-CN"/>
              </w:rPr>
              <w:t>10.报表功能</w:t>
            </w:r>
          </w:p>
        </w:tc>
      </w:tr>
      <w:tr w14:paraId="1D6B3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79CF90F2">
            <w:pPr>
              <w:rPr>
                <w:color w:val="auto"/>
              </w:rPr>
            </w:pPr>
            <w:r>
              <w:rPr>
                <w:rFonts w:ascii="宋体" w:cs="宋体"/>
                <w:b/>
                <w:color w:val="auto"/>
                <w:sz w:val="28"/>
              </w:rPr>
              <w:t>教学反思</w:t>
            </w:r>
            <w:r>
              <w:rPr>
                <w:rFonts w:hint="eastAsia" w:ascii="宋体" w:cs="宋体"/>
                <w:b/>
                <w:color w:val="auto"/>
                <w:sz w:val="28"/>
              </w:rPr>
              <w:t>（</w:t>
            </w:r>
            <w:r>
              <w:rPr>
                <w:rFonts w:hint="eastAsia" w:ascii="宋体" w:cs="宋体"/>
                <w:b/>
                <w:color w:val="FF0000"/>
                <w:sz w:val="28"/>
              </w:rPr>
              <w:t>手写</w:t>
            </w:r>
            <w:r>
              <w:rPr>
                <w:rFonts w:hint="eastAsia" w:ascii="宋体" w:cs="宋体"/>
                <w:b/>
                <w:color w:val="auto"/>
                <w:sz w:val="28"/>
              </w:rPr>
              <w:t>）</w:t>
            </w:r>
          </w:p>
        </w:tc>
        <w:tc>
          <w:tcPr>
            <w:tcW w:w="8522" w:type="dxa"/>
            <w:gridSpan w:val="3"/>
            <w:shd w:val="clear" w:color="auto" w:fill="FFFFFF" w:themeFill="background1"/>
          </w:tcPr>
          <w:p w14:paraId="2AF894A4">
            <w:pPr>
              <w:rPr>
                <w:color w:val="auto"/>
              </w:rPr>
            </w:pPr>
          </w:p>
        </w:tc>
      </w:tr>
    </w:tbl>
    <w:p w14:paraId="245C4B20"/>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C1B4A85"/>
    <w:rsid w:val="001F78C2"/>
    <w:rsid w:val="00C435AA"/>
    <w:rsid w:val="00F52B12"/>
    <w:rsid w:val="069114AA"/>
    <w:rsid w:val="116F4AAF"/>
    <w:rsid w:val="1875006A"/>
    <w:rsid w:val="1C1B4A85"/>
    <w:rsid w:val="25F40EA7"/>
    <w:rsid w:val="2935110A"/>
    <w:rsid w:val="308A799E"/>
    <w:rsid w:val="33396D97"/>
    <w:rsid w:val="34F47329"/>
    <w:rsid w:val="3F0D2A93"/>
    <w:rsid w:val="49E06568"/>
    <w:rsid w:val="4AF53986"/>
    <w:rsid w:val="5F972637"/>
    <w:rsid w:val="693C6DF1"/>
    <w:rsid w:val="718408CB"/>
    <w:rsid w:val="7C5F24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3" Type="http://schemas.openxmlformats.org/officeDocument/2006/relationships/fontTable" Target="fontTable.xml"/><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19</Pages>
  <Words>4855</Words>
  <Characters>4963</Characters>
  <Lines>66</Lines>
  <Paragraphs>18</Paragraphs>
  <TotalTime>64</TotalTime>
  <ScaleCrop>false</ScaleCrop>
  <LinksUpToDate>false</LinksUpToDate>
  <CharactersWithSpaces>4967</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2025-05-07T10:12:00Z</dcterms:created>
  <dc:creator>TREASURE</dc:creator>
  <cp:lastModifiedBy>TREASURE</cp:lastModifiedBy>
  <dcterms:modified xsi:type="dcterms:W3CDTF">2025-05-09T02:33:00Z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2ED81E1B50954A3A9C8020593DF427EF_13</vt:lpwstr>
  </property>
  <property fmtid="{D5CDD505-2E9C-101B-9397-08002B2CF9AE}" pid="4" name="KSOTemplateDocerSaveRecord">
    <vt:lpwstr>eyJoZGlkIjoiMjNjZjU1MDBkNjRkNjMxZTZhZDVjMzc0NWEyZDI1OGUiLCJ1c2VySWQiOiI5MzI1MjI1NzkifQ==</vt:lpwstr>
  </property>
</Properties>
</file>