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09F79E15">
      <w:pPr>
        <w:jc w:val="center"/>
        <w:rPr>
          <w:rFonts w:eastAsia="Calibri" w:cs="Calibri"/>
          <w:b/>
          <w:color w:val="FF0000"/>
          <w:sz w:val="28"/>
        </w:rPr>
      </w:pPr>
      <w:r>
        <w:rPr>
          <w:rFonts w:ascii="宋体" w:cs="宋体"/>
          <w:b/>
          <w:sz w:val="36"/>
        </w:rPr>
        <w:t>重庆市两江职业教育中心</w:t>
      </w:r>
      <w:r>
        <w:rPr>
          <w:rFonts w:hint="eastAsia" w:ascii="宋体" w:cs="宋体"/>
          <w:b/>
          <w:sz w:val="36"/>
        </w:rPr>
        <w:t>教学</w:t>
      </w:r>
      <w:r>
        <w:rPr>
          <w:rFonts w:ascii="宋体" w:cs="宋体"/>
          <w:b/>
          <w:sz w:val="36"/>
        </w:rPr>
        <w:t>教案</w:t>
      </w:r>
    </w:p>
    <w:tbl>
      <w:tblPr>
        <w:tblStyle w:val="2"/>
        <w:tblW w:w="10020" w:type="dxa"/>
        <w:tblInd w:w="0" w:type="dxa"/>
        <w:tblLayout w:type="fixed"/>
        <w:tblCellMar>
          <w:top w:w="0" w:type="dxa"/>
          <w:left w:w="10" w:type="dxa"/>
          <w:bottom w:w="0" w:type="dxa"/>
          <w:right w:w="10" w:type="dxa"/>
        </w:tblCellMar>
      </w:tblPr>
      <w:tblGrid>
        <w:gridCol w:w="1520"/>
        <w:gridCol w:w="1967"/>
        <w:gridCol w:w="1050"/>
        <w:gridCol w:w="2452"/>
        <w:gridCol w:w="836"/>
        <w:gridCol w:w="2195"/>
      </w:tblGrid>
      <w:tr w14:paraId="505C3CCE">
        <w:tblPrEx>
          <w:tblCellMar>
            <w:top w:w="0" w:type="dxa"/>
            <w:left w:w="10" w:type="dxa"/>
            <w:bottom w:w="0" w:type="dxa"/>
            <w:right w:w="10" w:type="dxa"/>
          </w:tblCellMar>
        </w:tblPrEx>
        <w:trPr>
          <w:trHeight w:val="927" w:hRule="atLeast"/>
        </w:trPr>
        <w:tc>
          <w:tcPr>
            <w:tcW w:w="15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14:paraId="7B7840D3">
            <w:pPr>
              <w:jc w:val="center"/>
              <w:rPr>
                <w:b/>
              </w:rPr>
            </w:pPr>
            <w:r>
              <w:rPr>
                <w:rFonts w:ascii="宋体" w:cs="宋体"/>
                <w:b/>
                <w:sz w:val="28"/>
              </w:rPr>
              <w:t>课题</w:t>
            </w:r>
          </w:p>
        </w:tc>
        <w:tc>
          <w:tcPr>
            <w:tcW w:w="196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14:paraId="4F5BDD81">
            <w:pPr>
              <w:jc w:val="center"/>
            </w:pPr>
            <w:bookmarkStart w:id="0" w:name="_GoBack"/>
            <w:r>
              <w:rPr>
                <w:rFonts w:hint="eastAsia" w:ascii="Times New Roman" w:hAnsi="Times New Roman"/>
                <w:sz w:val="24"/>
                <w:szCs w:val="24"/>
                <w:lang w:val="en-US" w:eastAsia="zh-CN"/>
              </w:rPr>
              <w:t>票务员开窗售票作业</w:t>
            </w:r>
            <w:bookmarkEnd w:id="0"/>
          </w:p>
        </w:tc>
        <w:tc>
          <w:tcPr>
            <w:tcW w:w="10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14:paraId="124D8BA3">
            <w:pPr>
              <w:jc w:val="center"/>
              <w:rPr>
                <w:b/>
              </w:rPr>
            </w:pPr>
            <w:r>
              <w:rPr>
                <w:rFonts w:ascii="宋体" w:cs="宋体"/>
                <w:b/>
                <w:sz w:val="28"/>
              </w:rPr>
              <w:t>班级</w:t>
            </w:r>
          </w:p>
        </w:tc>
        <w:tc>
          <w:tcPr>
            <w:tcW w:w="245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14:paraId="43F2A3A9"/>
        </w:tc>
        <w:tc>
          <w:tcPr>
            <w:tcW w:w="83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14:paraId="4E7D741E">
            <w:pPr>
              <w:jc w:val="center"/>
              <w:rPr>
                <w:b/>
              </w:rPr>
            </w:pPr>
            <w:r>
              <w:rPr>
                <w:rFonts w:ascii="宋体" w:cs="宋体"/>
                <w:b/>
                <w:sz w:val="28"/>
              </w:rPr>
              <w:t>教师</w:t>
            </w:r>
          </w:p>
        </w:tc>
        <w:tc>
          <w:tcPr>
            <w:tcW w:w="21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000000" w:fill="FFFFFF"/>
            <w:vAlign w:val="center"/>
          </w:tcPr>
          <w:p w14:paraId="3DDC880D">
            <w:pPr>
              <w:jc w:val="center"/>
              <w:rPr>
                <w:rFonts w:ascii="宋体" w:cs="宋体"/>
              </w:rPr>
            </w:pPr>
          </w:p>
        </w:tc>
      </w:tr>
      <w:tr w14:paraId="5951CA2D">
        <w:tblPrEx>
          <w:tblCellMar>
            <w:top w:w="0" w:type="dxa"/>
            <w:left w:w="10" w:type="dxa"/>
            <w:bottom w:w="0" w:type="dxa"/>
            <w:right w:w="10" w:type="dxa"/>
          </w:tblCellMar>
        </w:tblPrEx>
        <w:trPr>
          <w:trHeight w:val="1360" w:hRule="atLeast"/>
        </w:trPr>
        <w:tc>
          <w:tcPr>
            <w:tcW w:w="15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14:paraId="7D957BC1">
            <w:pPr>
              <w:jc w:val="center"/>
              <w:rPr>
                <w:b/>
              </w:rPr>
            </w:pPr>
            <w:r>
              <w:rPr>
                <w:rFonts w:ascii="宋体" w:cs="宋体"/>
                <w:b/>
                <w:sz w:val="28"/>
              </w:rPr>
              <w:t>课型</w:t>
            </w:r>
          </w:p>
        </w:tc>
        <w:tc>
          <w:tcPr>
            <w:tcW w:w="196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14:paraId="6AB9A1E8">
            <w:pPr>
              <w:jc w:val="center"/>
            </w:pPr>
            <w:r>
              <w:rPr>
                <w:rFonts w:ascii="Times New Roman" w:hAnsi="Times New Roman"/>
                <w:sz w:val="24"/>
                <w:szCs w:val="24"/>
              </w:rPr>
              <w:t>新授课</w:t>
            </w:r>
          </w:p>
        </w:tc>
        <w:tc>
          <w:tcPr>
            <w:tcW w:w="10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14:paraId="6E8538CA">
            <w:pPr>
              <w:jc w:val="center"/>
              <w:rPr>
                <w:b/>
              </w:rPr>
            </w:pPr>
            <w:r>
              <w:rPr>
                <w:rFonts w:ascii="宋体" w:cs="宋体"/>
                <w:b/>
                <w:sz w:val="28"/>
              </w:rPr>
              <w:t>课时</w:t>
            </w:r>
          </w:p>
        </w:tc>
        <w:tc>
          <w:tcPr>
            <w:tcW w:w="245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14:paraId="4BDD5A53">
            <w:pPr>
              <w:jc w:val="lef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第</w:t>
            </w:r>
            <w:r>
              <w:rPr>
                <w:rFonts w:hint="eastAsia" w:ascii="Times New Roman" w:hAnsi="Times New Roman"/>
                <w:sz w:val="24"/>
                <w:szCs w:val="24"/>
                <w:lang w:val="en-US" w:eastAsia="zh-CN"/>
              </w:rPr>
              <w:t xml:space="preserve">  </w:t>
            </w:r>
            <w:r>
              <w:rPr>
                <w:rFonts w:ascii="Times New Roman" w:hAnsi="Times New Roman"/>
                <w:sz w:val="24"/>
                <w:szCs w:val="24"/>
              </w:rPr>
              <w:t>周</w:t>
            </w:r>
          </w:p>
          <w:p w14:paraId="11C99913">
            <w:pPr>
              <w:jc w:val="left"/>
              <w:rPr>
                <w:rFonts w:ascii="宋体" w:cs="宋体"/>
                <w:sz w:val="28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第</w:t>
            </w:r>
            <w:r>
              <w:rPr>
                <w:rFonts w:hint="eastAsia" w:ascii="Times New Roman" w:hAnsi="Times New Roman"/>
                <w:sz w:val="24"/>
                <w:szCs w:val="24"/>
                <w:lang w:val="en-US" w:eastAsia="zh-CN"/>
              </w:rPr>
              <w:t xml:space="preserve">  </w:t>
            </w:r>
            <w:r>
              <w:rPr>
                <w:rFonts w:ascii="Times New Roman" w:hAnsi="Times New Roman"/>
                <w:sz w:val="24"/>
                <w:szCs w:val="24"/>
              </w:rPr>
              <w:t>课时</w:t>
            </w:r>
          </w:p>
        </w:tc>
        <w:tc>
          <w:tcPr>
            <w:tcW w:w="83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14:paraId="1F9D80DE">
            <w:pPr>
              <w:jc w:val="center"/>
              <w:rPr>
                <w:rFonts w:ascii="宋体" w:cs="宋体"/>
                <w:b/>
                <w:sz w:val="28"/>
              </w:rPr>
            </w:pPr>
            <w:r>
              <w:rPr>
                <w:rFonts w:hint="eastAsia" w:ascii="宋体" w:cs="宋体"/>
                <w:b/>
                <w:sz w:val="28"/>
              </w:rPr>
              <w:t>上课</w:t>
            </w:r>
          </w:p>
          <w:p w14:paraId="2F64384E">
            <w:pPr>
              <w:jc w:val="center"/>
              <w:rPr>
                <w:b/>
              </w:rPr>
            </w:pPr>
            <w:r>
              <w:rPr>
                <w:rFonts w:ascii="宋体" w:cs="宋体"/>
                <w:b/>
                <w:sz w:val="28"/>
              </w:rPr>
              <w:t>时间</w:t>
            </w:r>
          </w:p>
        </w:tc>
        <w:tc>
          <w:tcPr>
            <w:tcW w:w="21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000000" w:fill="FFFFFF"/>
            <w:vAlign w:val="center"/>
          </w:tcPr>
          <w:p w14:paraId="415AF40F">
            <w:pPr>
              <w:jc w:val="center"/>
              <w:rPr>
                <w:b/>
                <w:sz w:val="28"/>
                <w:szCs w:val="28"/>
              </w:rPr>
            </w:pPr>
          </w:p>
        </w:tc>
      </w:tr>
      <w:tr w14:paraId="23EBA0EC">
        <w:tblPrEx>
          <w:tblCellMar>
            <w:top w:w="0" w:type="dxa"/>
            <w:left w:w="10" w:type="dxa"/>
            <w:bottom w:w="0" w:type="dxa"/>
            <w:right w:w="10" w:type="dxa"/>
          </w:tblCellMar>
        </w:tblPrEx>
        <w:trPr>
          <w:trHeight w:val="1029" w:hRule="atLeast"/>
        </w:trPr>
        <w:tc>
          <w:tcPr>
            <w:tcW w:w="1520" w:type="dxa"/>
            <w:tcBorders>
              <w:top w:val="single" w:color="000000" w:sz="4" w:space="0"/>
              <w:left w:val="single" w:color="000000" w:sz="4" w:space="0"/>
              <w:bottom w:val="single" w:color="auto" w:sz="4" w:space="0"/>
              <w:right w:val="single" w:color="000000" w:sz="4" w:space="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14:paraId="31C5FB50">
            <w:pPr>
              <w:jc w:val="center"/>
              <w:rPr>
                <w:rFonts w:ascii="宋体" w:cs="宋体"/>
                <w:b/>
                <w:sz w:val="28"/>
              </w:rPr>
            </w:pPr>
            <w:r>
              <w:rPr>
                <w:rFonts w:hint="eastAsia" w:ascii="宋体" w:cs="宋体"/>
                <w:b/>
                <w:sz w:val="28"/>
              </w:rPr>
              <w:t>学情分析</w:t>
            </w:r>
          </w:p>
        </w:tc>
        <w:tc>
          <w:tcPr>
            <w:tcW w:w="8500" w:type="dxa"/>
            <w:gridSpan w:val="5"/>
            <w:tcBorders>
              <w:top w:val="single" w:color="000000" w:sz="4" w:space="0"/>
              <w:left w:val="single" w:color="000000" w:sz="4" w:space="0"/>
              <w:bottom w:val="single" w:color="auto" w:sz="4" w:space="0"/>
              <w:right w:val="single" w:color="000000" w:sz="4" w:space="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14:paraId="1346F32C">
            <w:pPr>
              <w:spacing w:line="360" w:lineRule="auto"/>
              <w:jc w:val="left"/>
              <w:rPr>
                <w:rFonts w:hint="eastAsia" w:ascii="宋体" w:hAnsi="宋体" w:eastAsia="宋体" w:cs="宋体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</w:rPr>
              <w:t>学生对地铁岗位工作有一定的感性认知，但缺乏系统的专业了解。在日常出行中，学生接触过站务员、票务员的服务，却不清楚各岗位的具体职责、工作流程及规范要求。学生思维活跃，对实际工作场景中的任务执行和岗位协作充满好奇，具备一定的自主学习和团队协作能力，能够通过资料收集和小组讨论初步认识岗位知识。</w:t>
            </w:r>
          </w:p>
        </w:tc>
      </w:tr>
      <w:tr w14:paraId="5496B940">
        <w:tblPrEx>
          <w:tblCellMar>
            <w:top w:w="0" w:type="dxa"/>
            <w:left w:w="10" w:type="dxa"/>
            <w:bottom w:w="0" w:type="dxa"/>
            <w:right w:w="10" w:type="dxa"/>
          </w:tblCellMar>
        </w:tblPrEx>
        <w:trPr>
          <w:trHeight w:val="1029" w:hRule="atLeast"/>
        </w:trPr>
        <w:tc>
          <w:tcPr>
            <w:tcW w:w="1520" w:type="dxa"/>
            <w:tcBorders>
              <w:top w:val="single" w:color="000000" w:sz="4" w:space="0"/>
              <w:left w:val="single" w:color="000000" w:sz="4" w:space="0"/>
              <w:bottom w:val="single" w:color="auto" w:sz="4" w:space="0"/>
              <w:right w:val="single" w:color="000000" w:sz="4" w:space="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14:paraId="21895195">
            <w:pPr>
              <w:jc w:val="center"/>
              <w:rPr>
                <w:rFonts w:ascii="宋体" w:cs="宋体"/>
                <w:b/>
                <w:sz w:val="28"/>
              </w:rPr>
            </w:pPr>
            <w:r>
              <w:rPr>
                <w:rFonts w:hint="eastAsia" w:ascii="宋体" w:cs="宋体"/>
                <w:b/>
                <w:sz w:val="28"/>
              </w:rPr>
              <w:t>课程思政</w:t>
            </w:r>
          </w:p>
        </w:tc>
        <w:tc>
          <w:tcPr>
            <w:tcW w:w="8500" w:type="dxa"/>
            <w:gridSpan w:val="5"/>
            <w:tcBorders>
              <w:top w:val="single" w:color="000000" w:sz="4" w:space="0"/>
              <w:left w:val="single" w:color="000000" w:sz="4" w:space="0"/>
              <w:bottom w:val="single" w:color="auto" w:sz="4" w:space="0"/>
              <w:right w:val="single" w:color="000000" w:sz="4" w:space="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14:paraId="7351409D">
            <w:pPr>
              <w:spacing w:line="360" w:lineRule="auto"/>
              <w:jc w:val="left"/>
              <w:rPr>
                <w:rFonts w:hint="eastAsia" w:ascii="宋体" w:hAnsi="宋体" w:eastAsia="宋体" w:cs="宋体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</w:rPr>
              <w:t>1.树立以乘客为中心的服务理念。</w:t>
            </w:r>
          </w:p>
          <w:p w14:paraId="5EE30A3F">
            <w:pPr>
              <w:spacing w:line="360" w:lineRule="auto"/>
              <w:jc w:val="left"/>
              <w:rPr>
                <w:rFonts w:hint="eastAsia" w:ascii="宋体" w:hAnsi="宋体" w:eastAsia="宋体" w:cs="宋体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</w:rPr>
              <w:t>2.强化责任心，严格遵守票务工作的规章制度和操作流程。</w:t>
            </w:r>
          </w:p>
        </w:tc>
      </w:tr>
      <w:tr w14:paraId="53A13ED7">
        <w:tblPrEx>
          <w:tblCellMar>
            <w:top w:w="0" w:type="dxa"/>
            <w:left w:w="10" w:type="dxa"/>
            <w:bottom w:w="0" w:type="dxa"/>
            <w:right w:w="10" w:type="dxa"/>
          </w:tblCellMar>
        </w:tblPrEx>
        <w:trPr>
          <w:trHeight w:val="1376" w:hRule="atLeast"/>
        </w:trPr>
        <w:tc>
          <w:tcPr>
            <w:tcW w:w="15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14:paraId="354DA531">
            <w:pPr>
              <w:jc w:val="center"/>
              <w:rPr>
                <w:rFonts w:ascii="宋体"/>
                <w:b/>
              </w:rPr>
            </w:pPr>
            <w:r>
              <w:rPr>
                <w:rFonts w:ascii="宋体" w:cs="宋体"/>
                <w:b/>
                <w:sz w:val="28"/>
              </w:rPr>
              <w:t>教学目标</w:t>
            </w:r>
          </w:p>
        </w:tc>
        <w:tc>
          <w:tcPr>
            <w:tcW w:w="8500" w:type="dxa"/>
            <w:gridSpan w:val="5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14:paraId="5432B53E">
            <w:pPr>
              <w:spacing w:line="360" w:lineRule="auto"/>
              <w:jc w:val="left"/>
              <w:rPr>
                <w:rFonts w:hint="eastAsia" w:ascii="Times New Roman" w:hAnsi="Times New Roman"/>
                <w:sz w:val="24"/>
                <w:szCs w:val="24"/>
              </w:rPr>
            </w:pPr>
            <w:r>
              <w:rPr>
                <w:rFonts w:hint="eastAsia" w:ascii="Times New Roman" w:hAnsi="Times New Roman"/>
                <w:sz w:val="24"/>
                <w:szCs w:val="24"/>
              </w:rPr>
              <w:t>知识目标：</w:t>
            </w:r>
          </w:p>
          <w:p w14:paraId="077627E6">
            <w:pPr>
              <w:spacing w:line="360" w:lineRule="auto"/>
              <w:jc w:val="left"/>
              <w:rPr>
                <w:rFonts w:hint="eastAsia" w:ascii="Times New Roman" w:hAnsi="Times New Roman"/>
                <w:sz w:val="24"/>
                <w:szCs w:val="24"/>
                <w:lang w:val="en-US" w:eastAsia="zh-CN"/>
              </w:rPr>
            </w:pPr>
            <w:r>
              <w:rPr>
                <w:rFonts w:hint="eastAsia" w:ascii="Times New Roman" w:hAnsi="Times New Roman"/>
                <w:sz w:val="24"/>
                <w:szCs w:val="24"/>
                <w:lang w:val="en-US" w:eastAsia="zh-CN"/>
              </w:rPr>
              <w:t>1.了解站长岗位的主要工作内容。</w:t>
            </w:r>
          </w:p>
          <w:p w14:paraId="1DB7CEE6">
            <w:pPr>
              <w:spacing w:line="360" w:lineRule="auto"/>
              <w:jc w:val="left"/>
              <w:rPr>
                <w:rFonts w:hint="default" w:ascii="Times New Roman" w:hAnsi="Times New Roman"/>
                <w:sz w:val="24"/>
                <w:szCs w:val="24"/>
                <w:lang w:val="en-US"/>
              </w:rPr>
            </w:pPr>
            <w:r>
              <w:rPr>
                <w:rFonts w:hint="eastAsia" w:ascii="Times New Roman" w:hAnsi="Times New Roman"/>
                <w:sz w:val="24"/>
                <w:szCs w:val="24"/>
                <w:lang w:val="en-US" w:eastAsia="zh-CN"/>
              </w:rPr>
              <w:t>2.熟悉票务员岗位的主要职责。</w:t>
            </w:r>
          </w:p>
          <w:p w14:paraId="1A89CF0A">
            <w:pPr>
              <w:spacing w:line="360" w:lineRule="auto"/>
              <w:jc w:val="left"/>
              <w:rPr>
                <w:rFonts w:hint="eastAsia" w:ascii="Times New Roman" w:hAnsi="Times New Roman"/>
                <w:sz w:val="24"/>
                <w:szCs w:val="24"/>
              </w:rPr>
            </w:pPr>
            <w:r>
              <w:rPr>
                <w:rFonts w:hint="eastAsia" w:ascii="Times New Roman" w:hAnsi="Times New Roman"/>
                <w:sz w:val="24"/>
                <w:szCs w:val="24"/>
              </w:rPr>
              <w:t>能力目标：</w:t>
            </w:r>
          </w:p>
          <w:p w14:paraId="0D772CF5">
            <w:pPr>
              <w:spacing w:line="360" w:lineRule="auto"/>
              <w:jc w:val="left"/>
              <w:rPr>
                <w:rFonts w:hint="eastAsia" w:ascii="宋体" w:hAnsi="宋体" w:cs="楷体"/>
                <w:sz w:val="24"/>
              </w:rPr>
            </w:pPr>
            <w:r>
              <w:rPr>
                <w:rFonts w:hint="eastAsia" w:ascii="Times New Roman" w:hAnsi="Times New Roman"/>
                <w:sz w:val="24"/>
                <w:szCs w:val="24"/>
                <w:lang w:val="en-US" w:eastAsia="zh-CN"/>
              </w:rPr>
              <w:t>能够通过BOM系统进行售票。</w:t>
            </w:r>
          </w:p>
        </w:tc>
      </w:tr>
      <w:tr w14:paraId="483EBB59">
        <w:tblPrEx>
          <w:tblCellMar>
            <w:top w:w="0" w:type="dxa"/>
            <w:left w:w="10" w:type="dxa"/>
            <w:bottom w:w="0" w:type="dxa"/>
            <w:right w:w="10" w:type="dxa"/>
          </w:tblCellMar>
        </w:tblPrEx>
        <w:trPr>
          <w:trHeight w:val="398" w:hRule="atLeast"/>
        </w:trPr>
        <w:tc>
          <w:tcPr>
            <w:tcW w:w="15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14:paraId="6BF4A295">
            <w:pPr>
              <w:jc w:val="center"/>
              <w:rPr>
                <w:rFonts w:ascii="宋体" w:cs="宋体"/>
                <w:b/>
                <w:sz w:val="28"/>
              </w:rPr>
            </w:pPr>
            <w:r>
              <w:rPr>
                <w:rFonts w:ascii="宋体" w:cs="宋体"/>
                <w:b/>
                <w:sz w:val="28"/>
              </w:rPr>
              <w:t>教学</w:t>
            </w:r>
            <w:r>
              <w:rPr>
                <w:rFonts w:hint="eastAsia" w:ascii="宋体" w:cs="宋体"/>
                <w:b/>
                <w:sz w:val="28"/>
              </w:rPr>
              <w:t>重</w:t>
            </w:r>
          </w:p>
          <w:p w14:paraId="230E2C9C">
            <w:pPr>
              <w:jc w:val="center"/>
              <w:rPr>
                <w:rFonts w:ascii="宋体" w:cs="宋体"/>
                <w:b/>
                <w:sz w:val="28"/>
              </w:rPr>
            </w:pPr>
            <w:r>
              <w:rPr>
                <w:rFonts w:hint="eastAsia" w:ascii="宋体" w:cs="宋体"/>
                <w:b/>
                <w:sz w:val="28"/>
              </w:rPr>
              <w:t>难点</w:t>
            </w:r>
          </w:p>
        </w:tc>
        <w:tc>
          <w:tcPr>
            <w:tcW w:w="8500" w:type="dxa"/>
            <w:gridSpan w:val="5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14:paraId="71D22786">
            <w:pPr>
              <w:spacing w:line="36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hint="eastAsia" w:ascii="Times New Roman" w:hAnsi="Times New Roman"/>
                <w:bCs/>
                <w:sz w:val="24"/>
                <w:szCs w:val="24"/>
              </w:rPr>
              <w:t>1.</w:t>
            </w:r>
            <w:r>
              <w:rPr>
                <w:rFonts w:hint="eastAsia" w:ascii="Times New Roman" w:hAnsi="Times New Roman"/>
                <w:sz w:val="24"/>
                <w:szCs w:val="24"/>
                <w:lang w:val="en-US" w:eastAsia="zh-CN"/>
              </w:rPr>
              <w:t>站长岗位的主要工作内容和票务员岗位的主要职责</w:t>
            </w:r>
            <w:r>
              <w:rPr>
                <w:rFonts w:hint="eastAsia" w:ascii="Times New Roman" w:hAnsi="Times New Roman"/>
                <w:bCs/>
                <w:sz w:val="24"/>
                <w:szCs w:val="24"/>
              </w:rPr>
              <w:t>。</w:t>
            </w:r>
          </w:p>
          <w:p w14:paraId="1FFDF061">
            <w:pPr>
              <w:spacing w:line="360" w:lineRule="auto"/>
              <w:rPr>
                <w:rFonts w:hint="default" w:ascii="Times New Roman" w:hAnsi="Times New Roman" w:eastAsia="宋体"/>
                <w:bCs/>
                <w:sz w:val="24"/>
                <w:szCs w:val="24"/>
                <w:lang w:val="en-US" w:eastAsia="zh-CN"/>
              </w:rPr>
            </w:pPr>
            <w:r>
              <w:rPr>
                <w:rFonts w:hint="eastAsia" w:ascii="Times New Roman" w:hAnsi="Times New Roman"/>
                <w:bCs/>
                <w:sz w:val="24"/>
                <w:szCs w:val="24"/>
              </w:rPr>
              <w:t>2.</w:t>
            </w:r>
            <w:r>
              <w:rPr>
                <w:rFonts w:hint="eastAsia" w:ascii="Times New Roman" w:hAnsi="Times New Roman"/>
                <w:sz w:val="24"/>
                <w:szCs w:val="24"/>
                <w:lang w:val="en-US" w:eastAsia="zh-CN"/>
              </w:rPr>
              <w:t>通过BOM系统进行售票。</w:t>
            </w:r>
          </w:p>
        </w:tc>
      </w:tr>
      <w:tr w14:paraId="0D4C2EAB">
        <w:tblPrEx>
          <w:tblCellMar>
            <w:top w:w="0" w:type="dxa"/>
            <w:left w:w="10" w:type="dxa"/>
            <w:bottom w:w="0" w:type="dxa"/>
            <w:right w:w="10" w:type="dxa"/>
          </w:tblCellMar>
        </w:tblPrEx>
        <w:trPr>
          <w:trHeight w:val="432" w:hRule="atLeast"/>
        </w:trPr>
        <w:tc>
          <w:tcPr>
            <w:tcW w:w="15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14:paraId="29A616C8">
            <w:pPr>
              <w:jc w:val="center"/>
              <w:rPr>
                <w:rFonts w:ascii="宋体" w:cs="宋体"/>
                <w:b/>
              </w:rPr>
            </w:pPr>
            <w:r>
              <w:rPr>
                <w:rFonts w:ascii="宋体" w:cs="宋体"/>
                <w:b/>
                <w:sz w:val="28"/>
              </w:rPr>
              <w:t>教学方法</w:t>
            </w:r>
          </w:p>
        </w:tc>
        <w:tc>
          <w:tcPr>
            <w:tcW w:w="8500" w:type="dxa"/>
            <w:gridSpan w:val="5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14:paraId="63C4BB24">
            <w:r>
              <w:rPr>
                <w:rFonts w:hint="eastAsia" w:ascii="Times New Roman" w:hAnsi="Times New Roman"/>
                <w:bCs/>
                <w:sz w:val="24"/>
                <w:szCs w:val="24"/>
              </w:rPr>
              <w:t>讲授法、互动问答法</w:t>
            </w:r>
          </w:p>
        </w:tc>
      </w:tr>
      <w:tr w14:paraId="1A35DB38">
        <w:tblPrEx>
          <w:tblCellMar>
            <w:top w:w="0" w:type="dxa"/>
            <w:left w:w="10" w:type="dxa"/>
            <w:bottom w:w="0" w:type="dxa"/>
            <w:right w:w="10" w:type="dxa"/>
          </w:tblCellMar>
        </w:tblPrEx>
        <w:trPr>
          <w:trHeight w:val="591" w:hRule="atLeast"/>
        </w:trPr>
        <w:tc>
          <w:tcPr>
            <w:tcW w:w="15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14:paraId="3EA720C0">
            <w:pPr>
              <w:jc w:val="center"/>
              <w:rPr>
                <w:rFonts w:ascii="宋体" w:cs="宋体"/>
                <w:b/>
                <w:sz w:val="28"/>
              </w:rPr>
            </w:pPr>
            <w:r>
              <w:rPr>
                <w:rFonts w:hint="eastAsia" w:ascii="宋体" w:cs="宋体"/>
                <w:b/>
                <w:sz w:val="28"/>
              </w:rPr>
              <w:t>教学媒体</w:t>
            </w:r>
          </w:p>
        </w:tc>
        <w:tc>
          <w:tcPr>
            <w:tcW w:w="8500" w:type="dxa"/>
            <w:gridSpan w:val="5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14:paraId="2CA03C4B">
            <w:r>
              <w:rPr>
                <w:rFonts w:ascii="Times New Roman" w:hAnsi="Times New Roman"/>
                <w:sz w:val="24"/>
                <w:szCs w:val="24"/>
              </w:rPr>
              <w:t>多媒体</w:t>
            </w:r>
          </w:p>
        </w:tc>
      </w:tr>
      <w:tr w14:paraId="5353A8A0">
        <w:tblPrEx>
          <w:tblCellMar>
            <w:top w:w="0" w:type="dxa"/>
            <w:left w:w="10" w:type="dxa"/>
            <w:bottom w:w="0" w:type="dxa"/>
            <w:right w:w="10" w:type="dxa"/>
          </w:tblCellMar>
        </w:tblPrEx>
        <w:trPr>
          <w:trHeight w:val="390" w:hRule="atLeast"/>
        </w:trPr>
        <w:tc>
          <w:tcPr>
            <w:tcW w:w="10020" w:type="dxa"/>
            <w:gridSpan w:val="6"/>
            <w:tcBorders>
              <w:top w:val="single" w:color="000000" w:sz="4" w:space="0"/>
              <w:left w:val="single" w:color="000000" w:sz="4" w:space="0"/>
              <w:bottom w:val="single" w:color="auto" w:sz="4" w:space="0"/>
              <w:right w:val="single" w:color="000000" w:sz="4" w:space="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14:paraId="1F27C23F">
            <w:pPr>
              <w:jc w:val="center"/>
              <w:rPr>
                <w:rFonts w:ascii="宋体" w:cs="宋体"/>
              </w:rPr>
            </w:pPr>
            <w:r>
              <w:rPr>
                <w:rFonts w:ascii="宋体" w:cs="宋体"/>
                <w:b/>
                <w:sz w:val="28"/>
              </w:rPr>
              <w:t>教学过程</w:t>
            </w:r>
          </w:p>
        </w:tc>
      </w:tr>
      <w:tr w14:paraId="0A834541">
        <w:tblPrEx>
          <w:tblCellMar>
            <w:top w:w="0" w:type="dxa"/>
            <w:left w:w="10" w:type="dxa"/>
            <w:bottom w:w="0" w:type="dxa"/>
            <w:right w:w="10" w:type="dxa"/>
          </w:tblCellMar>
        </w:tblPrEx>
        <w:trPr>
          <w:trHeight w:val="254" w:hRule="atLeast"/>
        </w:trPr>
        <w:tc>
          <w:tcPr>
            <w:tcW w:w="1520" w:type="dxa"/>
            <w:tcBorders>
              <w:top w:val="single" w:color="auto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14:paraId="4B78F5BD">
            <w:pPr>
              <w:jc w:val="center"/>
              <w:rPr>
                <w:rFonts w:ascii="宋体" w:cs="宋体"/>
                <w:b/>
                <w:sz w:val="28"/>
              </w:rPr>
            </w:pPr>
            <w:r>
              <w:rPr>
                <w:rFonts w:hint="eastAsia" w:ascii="宋体" w:cs="宋体"/>
                <w:b/>
                <w:sz w:val="28"/>
              </w:rPr>
              <w:t>课前准备</w:t>
            </w:r>
          </w:p>
        </w:tc>
        <w:tc>
          <w:tcPr>
            <w:tcW w:w="8500" w:type="dxa"/>
            <w:gridSpan w:val="5"/>
            <w:tcBorders>
              <w:top w:val="single" w:color="auto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000000" w:fill="FFFFFF"/>
            <w:vAlign w:val="center"/>
          </w:tcPr>
          <w:p w14:paraId="7A7837E9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left"/>
              <w:textAlignment w:val="auto"/>
              <w:rPr>
                <w:rFonts w:hint="eastAsia" w:ascii="宋体" w:hAnsi="宋体" w:cs="楷体"/>
                <w:sz w:val="24"/>
              </w:rPr>
            </w:pPr>
            <w:r>
              <w:rPr>
                <w:rFonts w:hint="eastAsia" w:ascii="宋体" w:hAnsi="宋体" w:cs="楷体"/>
                <w:sz w:val="24"/>
              </w:rPr>
              <w:t>1.教师做好教学准备，包括课件、教学视频等，调试多媒体</w:t>
            </w:r>
          </w:p>
          <w:p w14:paraId="20E1E812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left"/>
              <w:textAlignment w:val="auto"/>
              <w:rPr>
                <w:rFonts w:hint="eastAsia" w:ascii="宋体" w:hAnsi="宋体" w:cs="楷体"/>
                <w:sz w:val="24"/>
              </w:rPr>
            </w:pPr>
            <w:r>
              <w:rPr>
                <w:rFonts w:hint="eastAsia" w:ascii="宋体" w:hAnsi="宋体" w:cs="楷体"/>
                <w:sz w:val="24"/>
              </w:rPr>
              <w:t>2.</w:t>
            </w:r>
            <w:r>
              <w:rPr>
                <w:rFonts w:hint="eastAsia" w:ascii="宋体" w:hAnsi="宋体" w:cs="楷体"/>
                <w:sz w:val="24"/>
                <w:lang w:val="en-US" w:eastAsia="zh-CN"/>
              </w:rPr>
              <w:t>教师准备好实训设备：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半自动售票机系统、现金若干、车票若干、相关清单和登记表。</w:t>
            </w:r>
          </w:p>
          <w:p w14:paraId="7105E731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left"/>
              <w:textAlignment w:val="auto"/>
              <w:rPr>
                <w:rFonts w:ascii="宋体" w:cs="宋体"/>
                <w:b/>
                <w:sz w:val="28"/>
              </w:rPr>
            </w:pPr>
            <w:r>
              <w:rPr>
                <w:rFonts w:hint="eastAsia" w:ascii="宋体" w:hAnsi="宋体" w:cs="楷体"/>
                <w:sz w:val="24"/>
                <w:lang w:val="en-US" w:eastAsia="zh-CN"/>
              </w:rPr>
              <w:t>3.</w:t>
            </w:r>
            <w:r>
              <w:rPr>
                <w:rFonts w:hint="eastAsia" w:ascii="宋体" w:hAnsi="宋体" w:cs="楷体"/>
                <w:sz w:val="24"/>
              </w:rPr>
              <w:t>告知学生预习本次课</w:t>
            </w:r>
            <w:r>
              <w:rPr>
                <w:rFonts w:ascii="宋体" w:hAnsi="宋体" w:cs="楷体"/>
                <w:sz w:val="24"/>
              </w:rPr>
              <w:t>的相关</w:t>
            </w:r>
            <w:r>
              <w:rPr>
                <w:rFonts w:hint="eastAsia" w:ascii="宋体" w:hAnsi="宋体" w:cs="楷体"/>
                <w:sz w:val="24"/>
              </w:rPr>
              <w:t>内容</w:t>
            </w:r>
          </w:p>
        </w:tc>
      </w:tr>
      <w:tr w14:paraId="4C63475D">
        <w:tblPrEx>
          <w:tblCellMar>
            <w:top w:w="0" w:type="dxa"/>
            <w:left w:w="10" w:type="dxa"/>
            <w:bottom w:w="0" w:type="dxa"/>
            <w:right w:w="10" w:type="dxa"/>
          </w:tblCellMar>
        </w:tblPrEx>
        <w:trPr>
          <w:trHeight w:val="1530" w:hRule="atLeast"/>
        </w:trPr>
        <w:tc>
          <w:tcPr>
            <w:tcW w:w="15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14:paraId="69048B3A">
            <w:pPr>
              <w:rPr>
                <w:rFonts w:ascii="宋体" w:cs="宋体"/>
                <w:b/>
                <w:sz w:val="28"/>
              </w:rPr>
            </w:pPr>
            <w:r>
              <w:rPr>
                <w:rFonts w:ascii="宋体" w:cs="宋体"/>
                <w:b/>
                <w:sz w:val="28"/>
              </w:rPr>
              <w:t>教学环节</w:t>
            </w:r>
            <w:r>
              <w:rPr>
                <w:rFonts w:ascii="宋体" w:cs="宋体"/>
                <w:b/>
                <w:sz w:val="22"/>
              </w:rPr>
              <w:t>（时间分配）</w:t>
            </w:r>
          </w:p>
        </w:tc>
        <w:tc>
          <w:tcPr>
            <w:tcW w:w="3017" w:type="dxa"/>
            <w:gridSpan w:val="2"/>
            <w:tcBorders>
              <w:top w:val="single" w:color="auto" w:sz="4" w:space="0"/>
              <w:left w:val="single" w:color="000000" w:sz="4" w:space="0"/>
              <w:bottom w:val="single" w:color="auto" w:sz="4" w:space="0"/>
              <w:right w:val="single" w:color="auto" w:sz="4" w:space="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14:paraId="6E5E2E3F">
            <w:pPr>
              <w:jc w:val="center"/>
              <w:rPr>
                <w:rFonts w:ascii="宋体" w:cs="宋体"/>
                <w:b/>
                <w:sz w:val="28"/>
              </w:rPr>
            </w:pPr>
            <w:r>
              <w:rPr>
                <w:rFonts w:hint="eastAsia" w:ascii="宋体" w:cs="宋体"/>
                <w:b/>
                <w:sz w:val="28"/>
              </w:rPr>
              <w:t>教学内容及要点</w:t>
            </w:r>
          </w:p>
        </w:tc>
        <w:tc>
          <w:tcPr>
            <w:tcW w:w="2452" w:type="dxa"/>
            <w:tcBorders>
              <w:top w:val="single" w:color="auto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000000" w:fill="FFFFFF"/>
            <w:vAlign w:val="center"/>
          </w:tcPr>
          <w:p w14:paraId="2E212298">
            <w:pPr>
              <w:jc w:val="center"/>
              <w:rPr>
                <w:rFonts w:ascii="宋体" w:cs="宋体"/>
                <w:b/>
                <w:sz w:val="28"/>
              </w:rPr>
            </w:pPr>
            <w:r>
              <w:rPr>
                <w:rFonts w:hint="eastAsia" w:ascii="宋体" w:cs="宋体"/>
                <w:b/>
                <w:sz w:val="28"/>
              </w:rPr>
              <w:t>师生双边活动</w:t>
            </w:r>
          </w:p>
        </w:tc>
        <w:tc>
          <w:tcPr>
            <w:tcW w:w="3031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14:paraId="4838F6DD">
            <w:pPr>
              <w:rPr>
                <w:rFonts w:ascii="宋体" w:cs="宋体"/>
                <w:b/>
                <w:sz w:val="28"/>
              </w:rPr>
            </w:pPr>
            <w:r>
              <w:rPr>
                <w:rFonts w:ascii="宋体" w:cs="宋体"/>
                <w:b/>
                <w:sz w:val="28"/>
              </w:rPr>
              <w:t>设计意图</w:t>
            </w:r>
          </w:p>
        </w:tc>
      </w:tr>
      <w:tr w14:paraId="5F97D279">
        <w:tblPrEx>
          <w:tblCellMar>
            <w:top w:w="0" w:type="dxa"/>
            <w:left w:w="10" w:type="dxa"/>
            <w:bottom w:w="0" w:type="dxa"/>
            <w:right w:w="10" w:type="dxa"/>
          </w:tblCellMar>
        </w:tblPrEx>
        <w:trPr>
          <w:trHeight w:val="784" w:hRule="atLeast"/>
        </w:trPr>
        <w:tc>
          <w:tcPr>
            <w:tcW w:w="15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000000" w:fill="FFFFFF"/>
            <w:tcMar>
              <w:left w:w="108" w:type="dxa"/>
              <w:right w:w="108" w:type="dxa"/>
            </w:tcMar>
          </w:tcPr>
          <w:p w14:paraId="17B594C7">
            <w:pPr>
              <w:ind w:firstLine="141" w:firstLineChars="50"/>
              <w:jc w:val="center"/>
              <w:rPr>
                <w:rFonts w:ascii="宋体" w:cs="宋体"/>
                <w:b/>
                <w:sz w:val="28"/>
              </w:rPr>
            </w:pPr>
            <w:r>
              <w:rPr>
                <w:rFonts w:ascii="宋体" w:cs="宋体"/>
                <w:b/>
                <w:sz w:val="28"/>
              </w:rPr>
              <w:t>导</w:t>
            </w:r>
          </w:p>
          <w:p w14:paraId="2C194F8A">
            <w:pPr>
              <w:ind w:firstLine="141" w:firstLineChars="50"/>
              <w:jc w:val="center"/>
            </w:pPr>
            <w:r>
              <w:rPr>
                <w:rFonts w:ascii="宋体" w:cs="宋体"/>
                <w:b/>
                <w:sz w:val="28"/>
              </w:rPr>
              <w:t>入</w:t>
            </w:r>
          </w:p>
        </w:tc>
        <w:tc>
          <w:tcPr>
            <w:tcW w:w="3017" w:type="dxa"/>
            <w:gridSpan w:val="2"/>
            <w:tcBorders>
              <w:top w:val="single" w:color="auto" w:sz="4" w:space="0"/>
              <w:left w:val="single" w:color="000000" w:sz="4" w:space="0"/>
              <w:bottom w:val="single" w:color="000000" w:sz="4" w:space="0"/>
              <w:right w:val="single" w:color="auto" w:sz="4" w:space="0"/>
            </w:tcBorders>
            <w:shd w:val="clear" w:color="000000" w:fill="FFFFFF"/>
            <w:tcMar>
              <w:left w:w="108" w:type="dxa"/>
              <w:right w:w="108" w:type="dxa"/>
            </w:tcMar>
          </w:tcPr>
          <w:p w14:paraId="200A684E">
            <w:pPr>
              <w:spacing w:line="360" w:lineRule="auto"/>
              <w:ind w:firstLine="480" w:firstLineChars="200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hint="eastAsia" w:ascii="Times New Roman" w:hAnsi="Times New Roman"/>
                <w:bCs/>
                <w:sz w:val="24"/>
                <w:szCs w:val="24"/>
                <w:lang w:eastAsia="zh-CN"/>
              </w:rPr>
              <w:t>通过播放一段票务员实际工作的视频或图片，展示票务员开窗售票的现场情况。</w:t>
            </w:r>
          </w:p>
        </w:tc>
        <w:tc>
          <w:tcPr>
            <w:tcW w:w="2452" w:type="dxa"/>
            <w:tcBorders>
              <w:top w:val="single" w:color="000000" w:sz="4" w:space="0"/>
              <w:left w:val="single" w:color="auto" w:sz="4" w:space="0"/>
              <w:bottom w:val="single" w:color="000000" w:sz="4" w:space="0"/>
              <w:right w:val="single" w:color="000000" w:sz="4" w:space="0"/>
            </w:tcBorders>
            <w:shd w:val="clear" w:color="000000" w:fill="FFFFFF"/>
          </w:tcPr>
          <w:p w14:paraId="7BA0B40F">
            <w:pPr>
              <w:rPr>
                <w:rFonts w:ascii="宋体" w:cs="宋体"/>
                <w:sz w:val="22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学生思考后，教师补充</w:t>
            </w:r>
          </w:p>
          <w:p w14:paraId="5F2892F1">
            <w:pPr>
              <w:rPr>
                <w:rFonts w:ascii="宋体" w:cs="宋体"/>
                <w:sz w:val="22"/>
              </w:rPr>
            </w:pPr>
          </w:p>
        </w:tc>
        <w:tc>
          <w:tcPr>
            <w:tcW w:w="3031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000000" w:fill="FFFFFF"/>
            <w:tcMar>
              <w:left w:w="108" w:type="dxa"/>
              <w:right w:w="108" w:type="dxa"/>
            </w:tcMar>
          </w:tcPr>
          <w:p w14:paraId="549E7FC0">
            <w:pPr>
              <w:spacing w:line="379" w:lineRule="auto"/>
              <w:rPr>
                <w:rFonts w:ascii="Times New Roman" w:hAnsi="Times New Roman"/>
                <w:sz w:val="24"/>
              </w:rPr>
            </w:pPr>
            <w:r>
              <w:rPr>
                <w:rFonts w:hint="eastAsia" w:ascii="Times New Roman" w:hAnsi="Times New Roman"/>
                <w:sz w:val="24"/>
                <w:lang w:val="en-US" w:eastAsia="zh-CN"/>
              </w:rPr>
              <w:t>通过观看</w:t>
            </w:r>
            <w:r>
              <w:rPr>
                <w:rFonts w:hint="eastAsia" w:ascii="Times New Roman" w:hAnsi="Times New Roman"/>
                <w:bCs/>
                <w:sz w:val="24"/>
                <w:szCs w:val="24"/>
                <w:lang w:eastAsia="zh-CN"/>
              </w:rPr>
              <w:t>视频或图片，引发学生的好奇心和学习兴趣</w:t>
            </w:r>
            <w:r>
              <w:rPr>
                <w:rFonts w:hint="eastAsia" w:ascii="Times New Roman" w:hAnsi="Times New Roman"/>
                <w:sz w:val="24"/>
              </w:rPr>
              <w:t>。</w:t>
            </w:r>
          </w:p>
        </w:tc>
      </w:tr>
    </w:tbl>
    <w:tbl>
      <w:tblPr>
        <w:tblStyle w:val="3"/>
        <w:tblW w:w="10031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509"/>
        <w:gridCol w:w="5479"/>
        <w:gridCol w:w="1521"/>
        <w:gridCol w:w="1522"/>
      </w:tblGrid>
      <w:tr w14:paraId="44B6ED8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09" w:hRule="atLeast"/>
        </w:trPr>
        <w:tc>
          <w:tcPr>
            <w:tcW w:w="1509" w:type="dxa"/>
            <w:vMerge w:val="restart"/>
            <w:shd w:val="clear" w:color="auto" w:fill="FFFFFF" w:themeFill="background1"/>
          </w:tcPr>
          <w:p w14:paraId="5E72511C">
            <w:pPr>
              <w:jc w:val="center"/>
              <w:rPr>
                <w:rFonts w:ascii="宋体" w:cs="宋体"/>
                <w:b/>
                <w:sz w:val="28"/>
              </w:rPr>
            </w:pPr>
            <w:r>
              <w:rPr>
                <w:rFonts w:hint="eastAsia" w:ascii="宋体" w:cs="宋体"/>
                <w:b/>
                <w:sz w:val="28"/>
              </w:rPr>
              <w:t>教</w:t>
            </w:r>
          </w:p>
          <w:p w14:paraId="629E8140">
            <w:pPr>
              <w:rPr>
                <w:rFonts w:hint="eastAsia" w:ascii="宋体" w:cs="宋体"/>
                <w:b/>
                <w:sz w:val="28"/>
              </w:rPr>
            </w:pPr>
          </w:p>
          <w:p w14:paraId="75D16B88">
            <w:pPr>
              <w:jc w:val="center"/>
              <w:rPr>
                <w:rFonts w:cs="Calibri"/>
                <w:b/>
                <w:sz w:val="28"/>
              </w:rPr>
            </w:pPr>
            <w:r>
              <w:rPr>
                <w:rFonts w:hint="eastAsia" w:ascii="宋体" w:cs="宋体"/>
                <w:b/>
                <w:sz w:val="28"/>
              </w:rPr>
              <w:t>学</w:t>
            </w:r>
          </w:p>
          <w:p w14:paraId="7E174733">
            <w:pPr>
              <w:rPr>
                <w:rFonts w:ascii="宋体" w:cs="Calibri"/>
                <w:b/>
                <w:sz w:val="28"/>
              </w:rPr>
            </w:pPr>
          </w:p>
          <w:p w14:paraId="5E136709">
            <w:pPr>
              <w:jc w:val="center"/>
              <w:rPr>
                <w:rFonts w:cs="Calibri"/>
                <w:b/>
                <w:sz w:val="28"/>
              </w:rPr>
            </w:pPr>
            <w:r>
              <w:rPr>
                <w:rFonts w:hint="eastAsia" w:ascii="宋体" w:cs="Calibri"/>
                <w:b/>
                <w:sz w:val="28"/>
              </w:rPr>
              <w:t>过</w:t>
            </w:r>
          </w:p>
          <w:p w14:paraId="2964B9AF">
            <w:pPr>
              <w:jc w:val="center"/>
              <w:rPr>
                <w:rFonts w:ascii="宋体" w:cs="宋体"/>
                <w:b/>
                <w:sz w:val="28"/>
              </w:rPr>
            </w:pPr>
          </w:p>
          <w:p w14:paraId="18343A41">
            <w:pPr>
              <w:jc w:val="center"/>
              <w:rPr>
                <w:rFonts w:ascii="宋体" w:cs="宋体"/>
                <w:b/>
                <w:sz w:val="28"/>
              </w:rPr>
            </w:pPr>
            <w:r>
              <w:rPr>
                <w:rFonts w:hint="eastAsia" w:ascii="宋体" w:cs="宋体"/>
                <w:b/>
                <w:sz w:val="28"/>
              </w:rPr>
              <w:t>程</w:t>
            </w:r>
          </w:p>
          <w:p w14:paraId="1E9EEC24">
            <w:pPr>
              <w:rPr>
                <w:color w:val="auto"/>
              </w:rPr>
            </w:pPr>
          </w:p>
        </w:tc>
        <w:tc>
          <w:tcPr>
            <w:tcW w:w="5479" w:type="dxa"/>
            <w:shd w:val="clear" w:color="auto" w:fill="FFFFFF" w:themeFill="background1"/>
            <w:vAlign w:val="top"/>
          </w:tcPr>
          <w:p w14:paraId="407D8E7A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left"/>
              <w:textAlignment w:val="auto"/>
              <w:rPr>
                <w:rFonts w:hint="default" w:ascii="宋体" w:hAnsi="宋体" w:eastAsia="宋体" w:cs="宋体"/>
                <w:bCs/>
                <w:color w:val="auto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宋体" w:hAnsi="宋体" w:cs="宋体"/>
                <w:bCs/>
                <w:color w:val="auto"/>
                <w:kern w:val="2"/>
                <w:sz w:val="24"/>
                <w:szCs w:val="24"/>
                <w:lang w:val="en-US" w:eastAsia="zh-CN" w:bidi="ar-SA"/>
              </w:rPr>
              <w:t>一、知识链接</w:t>
            </w:r>
          </w:p>
          <w:p w14:paraId="43259AAB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left"/>
              <w:textAlignment w:val="auto"/>
              <w:rPr>
                <w:rFonts w:hint="eastAsia" w:ascii="宋体" w:hAnsi="宋体" w:cs="宋体"/>
                <w:bCs/>
                <w:color w:val="auto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bCs/>
                <w:color w:val="auto"/>
                <w:kern w:val="2"/>
                <w:sz w:val="24"/>
                <w:szCs w:val="24"/>
                <w:lang w:val="en-US" w:eastAsia="zh-CN" w:bidi="ar-SA"/>
              </w:rPr>
              <w:t>（一）</w:t>
            </w:r>
            <w:r>
              <w:rPr>
                <w:rFonts w:hint="eastAsia" w:ascii="宋体" w:hAnsi="宋体" w:cs="宋体"/>
                <w:bCs/>
                <w:color w:val="auto"/>
                <w:kern w:val="2"/>
                <w:sz w:val="24"/>
                <w:szCs w:val="24"/>
                <w:lang w:val="en-US" w:eastAsia="zh-CN" w:bidi="ar-SA"/>
              </w:rPr>
              <w:t>站长岗位</w:t>
            </w:r>
          </w:p>
          <w:p w14:paraId="560C632B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left"/>
              <w:textAlignment w:val="auto"/>
              <w:rPr>
                <w:rFonts w:hint="default" w:ascii="宋体" w:hAnsi="宋体" w:cs="宋体"/>
                <w:bCs/>
                <w:color w:val="auto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宋体" w:hAnsi="宋体" w:cs="宋体"/>
                <w:bCs/>
                <w:color w:val="auto"/>
                <w:kern w:val="2"/>
                <w:sz w:val="24"/>
                <w:szCs w:val="24"/>
                <w:lang w:val="en-US" w:eastAsia="zh-CN" w:bidi="ar-SA"/>
              </w:rPr>
              <w:t>1.站长的分类</w:t>
            </w:r>
          </w:p>
          <w:p w14:paraId="50CB9F52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left"/>
              <w:textAlignment w:val="auto"/>
              <w:rPr>
                <w:rFonts w:hint="eastAsia" w:ascii="宋体" w:hAnsi="宋体" w:eastAsia="宋体" w:cs="宋体"/>
                <w:bCs/>
                <w:color w:val="auto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bCs/>
                <w:color w:val="auto"/>
                <w:kern w:val="2"/>
                <w:sz w:val="24"/>
                <w:szCs w:val="24"/>
                <w:lang w:val="en-US" w:eastAsia="zh-CN" w:bidi="ar-SA"/>
              </w:rPr>
              <w:t>一般常见的单个地铁车站也叫自然站，除此之外，还会划分中心站或区域段、区域站，就是由若干个自然站拼成一个中心站或者区域站（或者叫站区）。所以，地铁站站长一般就三种，自然站一般设置有值班站长和自然站站长；中心站（区域站、站区）会设置中心站站长（区域站站长或者叫站区长）。</w:t>
            </w:r>
          </w:p>
        </w:tc>
        <w:tc>
          <w:tcPr>
            <w:tcW w:w="1521" w:type="dxa"/>
            <w:shd w:val="clear" w:color="auto" w:fill="FFFFFF" w:themeFill="background1"/>
            <w:vAlign w:val="center"/>
          </w:tcPr>
          <w:p w14:paraId="54B51E7D"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textAlignment w:val="auto"/>
              <w:rPr>
                <w:rFonts w:hint="default"/>
                <w:color w:val="auto"/>
                <w:lang w:val="en-US" w:eastAsia="zh-CN"/>
              </w:rPr>
            </w:pPr>
            <w:r>
              <w:rPr>
                <w:rFonts w:hint="eastAsia"/>
                <w:color w:val="auto"/>
                <w:sz w:val="24"/>
                <w:szCs w:val="28"/>
                <w:lang w:val="en-US" w:eastAsia="zh-CN"/>
              </w:rPr>
              <w:t>教师讲解，学生认真听讲</w:t>
            </w:r>
          </w:p>
        </w:tc>
        <w:tc>
          <w:tcPr>
            <w:tcW w:w="1522" w:type="dxa"/>
            <w:shd w:val="clear" w:color="auto" w:fill="FFFFFF" w:themeFill="background1"/>
            <w:vAlign w:val="center"/>
          </w:tcPr>
          <w:p w14:paraId="435F93D3"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textAlignment w:val="auto"/>
              <w:rPr>
                <w:rFonts w:hint="default"/>
                <w:color w:val="auto"/>
                <w:lang w:val="en-US"/>
              </w:rPr>
            </w:pPr>
            <w:r>
              <w:rPr>
                <w:rFonts w:hint="eastAsia"/>
                <w:color w:val="auto"/>
                <w:sz w:val="24"/>
                <w:szCs w:val="24"/>
                <w:lang w:val="en-US" w:eastAsia="zh-CN"/>
              </w:rPr>
              <w:t>帮助学生</w:t>
            </w:r>
            <w:r>
              <w:rPr>
                <w:rFonts w:hint="eastAsia" w:ascii="宋体" w:hAnsi="宋体" w:cs="宋体"/>
                <w:bCs/>
                <w:color w:val="auto"/>
                <w:kern w:val="2"/>
                <w:sz w:val="24"/>
                <w:szCs w:val="24"/>
                <w:lang w:val="en-US" w:eastAsia="zh-CN" w:bidi="ar-SA"/>
              </w:rPr>
              <w:t>了解站长的分类</w:t>
            </w:r>
          </w:p>
        </w:tc>
      </w:tr>
      <w:tr w14:paraId="32497ED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509" w:type="dxa"/>
            <w:vMerge w:val="continue"/>
            <w:shd w:val="clear" w:color="auto" w:fill="FFFFFF" w:themeFill="background1"/>
          </w:tcPr>
          <w:p w14:paraId="38C23E43">
            <w:pPr>
              <w:rPr>
                <w:color w:val="auto"/>
              </w:rPr>
            </w:pPr>
          </w:p>
        </w:tc>
        <w:tc>
          <w:tcPr>
            <w:tcW w:w="5479" w:type="dxa"/>
            <w:shd w:val="clear" w:color="auto" w:fill="FFFFFF" w:themeFill="background1"/>
            <w:vAlign w:val="top"/>
          </w:tcPr>
          <w:p w14:paraId="67F90EB9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left"/>
              <w:textAlignment w:val="auto"/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2.站长的工作内容</w:t>
            </w:r>
          </w:p>
          <w:p w14:paraId="5FB5AAC6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left"/>
              <w:textAlignment w:val="auto"/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（1）中心站站长。</w:t>
            </w:r>
          </w:p>
          <w:p w14:paraId="54DEB41D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left"/>
              <w:textAlignment w:val="auto"/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①负责中心站内的整体工作，具体分管中心站人员、物资、三体系、培训及综合事务等工作，通过定期开展车站员工工作状态的检查，制订相应的工作计划，提升中心站整体的工作水平。</w:t>
            </w:r>
          </w:p>
          <w:p w14:paraId="75D66B0C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left"/>
              <w:textAlignment w:val="auto"/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②定期组织车站的安全生产例会，实施安全标准化的管理手段，贯彻落实分公司安全生产相关通知通报，定期组织中心站安全巡查与检查，开展安全相关演练工作。</w:t>
            </w:r>
          </w:p>
          <w:p w14:paraId="64813288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left"/>
              <w:textAlignment w:val="auto"/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③组织开展中心站级的窗口服务标准化检查，定期开展对各专业的检查、评价及培训工作，依照日常工作及检查结果的分析，制定整改方案。</w:t>
            </w:r>
          </w:p>
          <w:p w14:paraId="37D10E0F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left"/>
              <w:textAlignment w:val="auto"/>
              <w:rPr>
                <w:rFonts w:hint="eastAsia" w:ascii="宋体" w:hAnsi="宋体" w:eastAsia="宋体" w:cs="宋体"/>
                <w:bCs/>
                <w:color w:val="auto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④全面贯彻落实分公司和站务中心的各项规章制度、通知以及业务操作流程，并在中心站内开展监督、指导与检查工作。</w:t>
            </w:r>
          </w:p>
        </w:tc>
        <w:tc>
          <w:tcPr>
            <w:tcW w:w="1521" w:type="dxa"/>
            <w:shd w:val="clear" w:color="auto" w:fill="FFFFFF" w:themeFill="background1"/>
            <w:vAlign w:val="center"/>
          </w:tcPr>
          <w:p w14:paraId="63E3986F"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textAlignment w:val="auto"/>
              <w:rPr>
                <w:rFonts w:hint="default"/>
                <w:color w:val="auto"/>
                <w:sz w:val="24"/>
                <w:szCs w:val="24"/>
                <w:lang w:val="en-US"/>
              </w:rPr>
            </w:pPr>
            <w:r>
              <w:rPr>
                <w:rFonts w:hint="eastAsia"/>
                <w:color w:val="auto"/>
                <w:sz w:val="24"/>
                <w:szCs w:val="28"/>
                <w:lang w:val="en-US" w:eastAsia="zh-CN"/>
              </w:rPr>
              <w:t>邀请学生阅读，随后老师进行讲解</w:t>
            </w:r>
          </w:p>
        </w:tc>
        <w:tc>
          <w:tcPr>
            <w:tcW w:w="1522" w:type="dxa"/>
            <w:shd w:val="clear" w:color="auto" w:fill="FFFFFF" w:themeFill="background1"/>
            <w:vAlign w:val="center"/>
          </w:tcPr>
          <w:p w14:paraId="2D5BB55D"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textAlignment w:val="auto"/>
              <w:rPr>
                <w:rFonts w:hint="default"/>
                <w:color w:val="auto"/>
                <w:sz w:val="24"/>
                <w:szCs w:val="24"/>
                <w:lang w:val="en-US"/>
              </w:rPr>
            </w:pPr>
            <w:r>
              <w:rPr>
                <w:rFonts w:hint="eastAsia"/>
                <w:color w:val="auto"/>
                <w:sz w:val="24"/>
                <w:szCs w:val="24"/>
                <w:lang w:val="en-US" w:eastAsia="zh-CN"/>
              </w:rPr>
              <w:t>帮助学生</w:t>
            </w:r>
            <w:r>
              <w:rPr>
                <w:rFonts w:hint="eastAsia" w:ascii="宋体" w:hAnsi="宋体" w:cs="宋体"/>
                <w:bCs/>
                <w:color w:val="auto"/>
                <w:kern w:val="2"/>
                <w:sz w:val="24"/>
                <w:szCs w:val="24"/>
                <w:lang w:val="en-US" w:eastAsia="zh-CN" w:bidi="ar-SA"/>
              </w:rPr>
              <w:t>了解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中心站站长的工作内容</w:t>
            </w:r>
          </w:p>
        </w:tc>
      </w:tr>
      <w:tr w14:paraId="23AED90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509" w:type="dxa"/>
            <w:vMerge w:val="continue"/>
            <w:shd w:val="clear" w:color="auto" w:fill="FFFFFF" w:themeFill="background1"/>
          </w:tcPr>
          <w:p w14:paraId="7A5A0138">
            <w:pPr>
              <w:rPr>
                <w:color w:val="auto"/>
              </w:rPr>
            </w:pPr>
          </w:p>
        </w:tc>
        <w:tc>
          <w:tcPr>
            <w:tcW w:w="5479" w:type="dxa"/>
            <w:shd w:val="clear" w:color="auto" w:fill="FFFFFF" w:themeFill="background1"/>
            <w:vAlign w:val="top"/>
          </w:tcPr>
          <w:p w14:paraId="7F7F3734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left"/>
              <w:textAlignment w:val="auto"/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（2）值班站长。</w:t>
            </w:r>
          </w:p>
          <w:p w14:paraId="07BFADE2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left"/>
              <w:textAlignment w:val="auto"/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①做好班组间工作交接，详细了解上一班次或交接本班次车站设备运行、行车作业、人员管理、通知通报、客运服务、物资管理、近期会议精神、站内施工以及上级检查等情况。</w:t>
            </w:r>
          </w:p>
          <w:p w14:paraId="59F268BF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left"/>
              <w:textAlignment w:val="auto"/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②组织召开班前会，对员工的出勤情况、仪容仪表及精神状态进行检查；对员工进行安全教育，法定节假日前的安全教育应包含节前安全教育内容；对当班期间工作人员进行岗位安排，传达上级会议精神、文件或通知；布置本班重点工作及注意事项。</w:t>
            </w:r>
          </w:p>
          <w:p w14:paraId="1145A841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left"/>
              <w:textAlignment w:val="auto"/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③组织车站员工做好运营前后各项工作，确认开站前车站设备设施状态正常，按时开放出入口、电梯及自动扶梯，确认相关岗位人员开站时均已到岗并检查其工作状态；运营结束后，组织做好关站工作，确认出入口关闭情况，关闭电梯及自动扶梯，巡视车站，避免滞留乘客。</w:t>
            </w:r>
          </w:p>
          <w:p w14:paraId="6BDF7B27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left"/>
              <w:textAlignment w:val="auto"/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④做好车站巡视工作，如实记录巡视情况，填写值班站长岗位相关工作台账；定期完成危化品、车站物资、消防设施等点检工作。检查各岗位作业情况，监督各岗位员工及委外人员执行“两纪一化”情况，发现违章情况及时做出处理。</w:t>
            </w:r>
          </w:p>
          <w:p w14:paraId="2F8DCFA9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left"/>
              <w:textAlignment w:val="auto"/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⑤及时处理、跟踪当班发生的乘客投诉、表扬、建议、客伤等事件，并认真反馈。及时处理站内其他各种突发情况，按要求进行处理及汇报，做好相应的记录。</w:t>
            </w:r>
          </w:p>
          <w:p w14:paraId="131E9592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left"/>
              <w:textAlignment w:val="auto"/>
              <w:rPr>
                <w:rFonts w:hint="eastAsia" w:ascii="宋体" w:hAnsi="宋体" w:eastAsia="宋体" w:cs="宋体"/>
                <w:bCs/>
                <w:color w:val="auto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⑥组织车站员工做好运营后车站施工工作及票务结算工作，组织班组成员进行岗位实操、业务培训及开展预案演练工作。</w:t>
            </w:r>
          </w:p>
        </w:tc>
        <w:tc>
          <w:tcPr>
            <w:tcW w:w="1521" w:type="dxa"/>
            <w:shd w:val="clear" w:color="auto" w:fill="FFFFFF" w:themeFill="background1"/>
            <w:vAlign w:val="center"/>
          </w:tcPr>
          <w:p w14:paraId="4E7E65E7"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textAlignment w:val="auto"/>
              <w:rPr>
                <w:color w:val="auto"/>
              </w:rPr>
            </w:pPr>
            <w:r>
              <w:rPr>
                <w:rFonts w:hint="eastAsia"/>
                <w:color w:val="auto"/>
                <w:sz w:val="24"/>
                <w:szCs w:val="28"/>
                <w:lang w:val="en-US" w:eastAsia="zh-CN"/>
              </w:rPr>
              <w:t>邀请学生阅读，随后老师进行讲解</w:t>
            </w:r>
          </w:p>
        </w:tc>
        <w:tc>
          <w:tcPr>
            <w:tcW w:w="1522" w:type="dxa"/>
            <w:shd w:val="clear" w:color="auto" w:fill="FFFFFF" w:themeFill="background1"/>
            <w:vAlign w:val="center"/>
          </w:tcPr>
          <w:p w14:paraId="1CE8A280"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textAlignment w:val="auto"/>
              <w:rPr>
                <w:rFonts w:hint="default"/>
                <w:color w:val="auto"/>
                <w:lang w:val="en-US"/>
              </w:rPr>
            </w:pPr>
            <w:r>
              <w:rPr>
                <w:rFonts w:hint="eastAsia"/>
                <w:color w:val="auto"/>
                <w:sz w:val="24"/>
                <w:szCs w:val="24"/>
                <w:lang w:val="en-US" w:eastAsia="zh-CN"/>
              </w:rPr>
              <w:t>帮助学生</w:t>
            </w:r>
            <w:r>
              <w:rPr>
                <w:rFonts w:hint="eastAsia" w:ascii="宋体" w:hAnsi="宋体" w:cs="宋体"/>
                <w:bCs/>
                <w:color w:val="auto"/>
                <w:kern w:val="2"/>
                <w:sz w:val="24"/>
                <w:szCs w:val="24"/>
                <w:lang w:val="en-US" w:eastAsia="zh-CN" w:bidi="ar-SA"/>
              </w:rPr>
              <w:t>了解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值班站长的工作内容</w:t>
            </w:r>
          </w:p>
        </w:tc>
      </w:tr>
      <w:tr w14:paraId="7E09D51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509" w:type="dxa"/>
            <w:vMerge w:val="continue"/>
            <w:shd w:val="clear" w:color="auto" w:fill="FFFFFF" w:themeFill="background1"/>
          </w:tcPr>
          <w:p w14:paraId="05C98551">
            <w:pPr>
              <w:rPr>
                <w:color w:val="auto"/>
              </w:rPr>
            </w:pPr>
          </w:p>
        </w:tc>
        <w:tc>
          <w:tcPr>
            <w:tcW w:w="5479" w:type="dxa"/>
            <w:shd w:val="clear" w:color="auto" w:fill="FFFFFF" w:themeFill="background1"/>
          </w:tcPr>
          <w:p w14:paraId="6D57701B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left"/>
              <w:textAlignment w:val="auto"/>
              <w:rPr>
                <w:rFonts w:hint="eastAsia" w:ascii="宋体" w:hAnsi="宋体" w:eastAsia="宋体" w:cs="宋体"/>
                <w:bCs/>
                <w:color w:val="auto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bCs/>
                <w:color w:val="auto"/>
                <w:kern w:val="2"/>
                <w:sz w:val="24"/>
                <w:szCs w:val="24"/>
                <w:lang w:val="en-US" w:eastAsia="zh-CN" w:bidi="ar-SA"/>
              </w:rPr>
              <w:t>（二）</w:t>
            </w:r>
            <w:r>
              <w:rPr>
                <w:rFonts w:hint="eastAsia" w:ascii="宋体" w:hAnsi="宋体" w:eastAsia="宋体" w:cs="宋体"/>
                <w:bCs/>
                <w:color w:val="auto"/>
                <w:kern w:val="2"/>
                <w:sz w:val="24"/>
                <w:szCs w:val="24"/>
                <w:lang w:val="en-US" w:eastAsia="zh-CN" w:bidi="ar-SA"/>
              </w:rPr>
              <w:t>站务员岗位</w:t>
            </w:r>
          </w:p>
          <w:p w14:paraId="1B8B0F35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left"/>
              <w:textAlignment w:val="auto"/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1.站务员岗位简介</w:t>
            </w:r>
          </w:p>
          <w:p w14:paraId="18A5FEE5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left"/>
              <w:textAlignment w:val="auto"/>
              <w:rPr>
                <w:rFonts w:hint="eastAsia" w:ascii="宋体" w:hAnsi="宋体" w:eastAsia="宋体" w:cs="宋体"/>
                <w:bCs/>
                <w:color w:val="auto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站务员是客运站的常规事务员，属于非专业技术工种。站务员日常工作比较繁杂，如维护秩序、协助反恐与安检、急救、紧急疏散等，具体工作内容在不同公司有所不同。</w:t>
            </w:r>
          </w:p>
        </w:tc>
        <w:tc>
          <w:tcPr>
            <w:tcW w:w="1521" w:type="dxa"/>
            <w:shd w:val="clear" w:color="auto" w:fill="FFFFFF" w:themeFill="background1"/>
            <w:vAlign w:val="center"/>
          </w:tcPr>
          <w:p w14:paraId="6329B01A"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textAlignment w:val="auto"/>
              <w:rPr>
                <w:color w:val="auto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师讲解，学生观</w:t>
            </w:r>
          </w:p>
        </w:tc>
        <w:tc>
          <w:tcPr>
            <w:tcW w:w="1522" w:type="dxa"/>
            <w:shd w:val="clear" w:color="auto" w:fill="FFFFFF" w:themeFill="background1"/>
            <w:vAlign w:val="center"/>
          </w:tcPr>
          <w:p w14:paraId="0CF3BF98"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textAlignment w:val="auto"/>
              <w:rPr>
                <w:rFonts w:hint="default" w:eastAsia="宋体"/>
                <w:color w:val="auto"/>
                <w:lang w:val="en-US" w:eastAsia="zh-CN"/>
              </w:rPr>
            </w:pPr>
            <w:r>
              <w:rPr>
                <w:rFonts w:hint="eastAsia"/>
                <w:color w:val="auto"/>
                <w:sz w:val="24"/>
                <w:szCs w:val="24"/>
                <w:lang w:val="en-US" w:eastAsia="zh-CN"/>
              </w:rPr>
              <w:t>帮助学生</w:t>
            </w:r>
            <w:r>
              <w:rPr>
                <w:rFonts w:hint="eastAsia" w:ascii="宋体" w:hAnsi="宋体" w:cs="宋体"/>
                <w:bCs/>
                <w:color w:val="auto"/>
                <w:kern w:val="2"/>
                <w:sz w:val="24"/>
                <w:szCs w:val="24"/>
                <w:lang w:val="en-US" w:eastAsia="zh-CN" w:bidi="ar-SA"/>
              </w:rPr>
              <w:t>了解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站务员岗位</w:t>
            </w:r>
          </w:p>
        </w:tc>
      </w:tr>
      <w:tr w14:paraId="1D3FA80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509" w:type="dxa"/>
            <w:vMerge w:val="continue"/>
            <w:shd w:val="clear" w:color="auto" w:fill="FFFFFF" w:themeFill="background1"/>
          </w:tcPr>
          <w:p w14:paraId="5A403635">
            <w:pPr>
              <w:rPr>
                <w:color w:val="auto"/>
              </w:rPr>
            </w:pPr>
          </w:p>
        </w:tc>
        <w:tc>
          <w:tcPr>
            <w:tcW w:w="5479" w:type="dxa"/>
            <w:shd w:val="clear" w:color="auto" w:fill="FFFFFF" w:themeFill="background1"/>
          </w:tcPr>
          <w:p w14:paraId="706876DF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left"/>
              <w:textAlignment w:val="auto"/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2.站务员岗位职责</w:t>
            </w:r>
          </w:p>
          <w:p w14:paraId="4A99281A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left"/>
              <w:textAlignment w:val="auto"/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①维护地铁站秩序：地铁站务员负责维护地铁站的秩序和安全，确保乘客在站内有序排队、上下车，并防止拥挤和混乱的情况发生。</w:t>
            </w:r>
          </w:p>
          <w:p w14:paraId="30F5F0A1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left"/>
              <w:textAlignment w:val="auto"/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②指引乘客：地铁站务员需要熟悉地铁线路和站点信息，能够向乘客提供准确的换乘、出行等信息，并协助乘客解决问题。</w:t>
            </w:r>
          </w:p>
          <w:p w14:paraId="0498B5EC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left"/>
              <w:textAlignment w:val="auto"/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③安全巡视：地铁站务员需要定期巡视站台、候车厅等区域，确保设备设施的正常运行和安全性，发现问题及时报修或处理，防范安全事故的发生。</w:t>
            </w:r>
          </w:p>
          <w:p w14:paraId="209501EB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left"/>
              <w:textAlignment w:val="auto"/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④突发事件处理：地铁站务员需要及时处理各类突发事件，如乘客突发疾病、乘客纠纷、设备故障等，做好应急处置工作，并协助相关部门开展后续调查和处理。</w:t>
            </w:r>
          </w:p>
          <w:p w14:paraId="0F1FC42A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left"/>
              <w:textAlignment w:val="auto"/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⑤信息发布：地铁站务员需要及时发布地铁运营信息、服务通知等，确保乘客得到及时有效的信息，提高乘客的满意度。</w:t>
            </w:r>
          </w:p>
        </w:tc>
        <w:tc>
          <w:tcPr>
            <w:tcW w:w="1521" w:type="dxa"/>
            <w:shd w:val="clear" w:color="auto" w:fill="FFFFFF" w:themeFill="background1"/>
            <w:vAlign w:val="center"/>
          </w:tcPr>
          <w:p w14:paraId="4549CD7B"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textAlignment w:val="auto"/>
              <w:rPr>
                <w:rFonts w:hint="default"/>
                <w:color w:val="auto"/>
                <w:lang w:val="en-US"/>
              </w:rPr>
            </w:pPr>
            <w:r>
              <w:rPr>
                <w:rFonts w:hint="eastAsia"/>
                <w:color w:val="auto"/>
                <w:sz w:val="24"/>
                <w:szCs w:val="28"/>
                <w:lang w:val="en-US" w:eastAsia="zh-CN"/>
              </w:rPr>
              <w:t>邀请学生阅读，随后老师进行讲解</w:t>
            </w:r>
          </w:p>
        </w:tc>
        <w:tc>
          <w:tcPr>
            <w:tcW w:w="1522" w:type="dxa"/>
            <w:shd w:val="clear" w:color="auto" w:fill="FFFFFF" w:themeFill="background1"/>
            <w:vAlign w:val="center"/>
          </w:tcPr>
          <w:p w14:paraId="29AAEC80"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textAlignment w:val="auto"/>
              <w:rPr>
                <w:rFonts w:hint="default" w:eastAsia="宋体"/>
                <w:color w:val="auto"/>
                <w:lang w:val="en-US" w:eastAsia="zh-CN"/>
              </w:rPr>
            </w:pPr>
            <w:r>
              <w:rPr>
                <w:rFonts w:hint="eastAsia"/>
                <w:color w:val="auto"/>
                <w:sz w:val="24"/>
                <w:szCs w:val="24"/>
                <w:lang w:val="en-US" w:eastAsia="zh-CN"/>
              </w:rPr>
              <w:t>帮助学生</w:t>
            </w:r>
            <w:r>
              <w:rPr>
                <w:rFonts w:hint="eastAsia" w:ascii="宋体" w:hAnsi="宋体" w:cs="宋体"/>
                <w:bCs/>
                <w:color w:val="auto"/>
                <w:kern w:val="2"/>
                <w:sz w:val="24"/>
                <w:szCs w:val="24"/>
                <w:lang w:val="en-US" w:eastAsia="zh-CN" w:bidi="ar-SA"/>
              </w:rPr>
              <w:t>了解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站务员岗位职责</w:t>
            </w:r>
          </w:p>
        </w:tc>
      </w:tr>
      <w:tr w14:paraId="704BAF3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509" w:type="dxa"/>
            <w:vMerge w:val="continue"/>
            <w:shd w:val="clear" w:color="auto" w:fill="FFFFFF" w:themeFill="background1"/>
          </w:tcPr>
          <w:p w14:paraId="2E1D802A">
            <w:pPr>
              <w:rPr>
                <w:color w:val="auto"/>
              </w:rPr>
            </w:pPr>
          </w:p>
        </w:tc>
        <w:tc>
          <w:tcPr>
            <w:tcW w:w="5479" w:type="dxa"/>
            <w:shd w:val="clear" w:color="auto" w:fill="FFFFFF" w:themeFill="background1"/>
          </w:tcPr>
          <w:p w14:paraId="68B7D2E9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left"/>
              <w:textAlignment w:val="auto"/>
              <w:rPr>
                <w:rFonts w:hint="eastAsia" w:ascii="宋体" w:hAnsi="宋体" w:eastAsia="宋体" w:cs="宋体"/>
                <w:bCs/>
                <w:color w:val="auto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bCs/>
                <w:color w:val="auto"/>
                <w:kern w:val="2"/>
                <w:sz w:val="24"/>
                <w:szCs w:val="24"/>
                <w:lang w:val="en-US" w:eastAsia="zh-CN" w:bidi="ar-SA"/>
              </w:rPr>
              <w:t>（三）</w:t>
            </w:r>
            <w:r>
              <w:rPr>
                <w:rFonts w:hint="eastAsia" w:ascii="宋体" w:hAnsi="宋体" w:eastAsia="宋体" w:cs="宋体"/>
                <w:bCs/>
                <w:color w:val="auto"/>
                <w:kern w:val="2"/>
                <w:sz w:val="24"/>
                <w:szCs w:val="24"/>
                <w:lang w:val="en-US" w:eastAsia="zh-CN" w:bidi="ar-SA"/>
              </w:rPr>
              <w:t>票务员岗位</w:t>
            </w:r>
          </w:p>
          <w:p w14:paraId="7EC433B8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left"/>
              <w:textAlignment w:val="auto"/>
              <w:rPr>
                <w:rFonts w:hint="eastAsia" w:ascii="宋体" w:hAnsi="宋体" w:eastAsia="宋体" w:cs="宋体"/>
                <w:bCs/>
                <w:color w:val="auto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票务员的岗位职责是在客运值班员领导下，按规定处理与乘客相关的票务事宜；负责客服中心的售票、充值、补票、咨询等相关事项；准确填写并提交票务报表，确保结算单无误，向客运值班员清晰交付当班票款，并在发现任何问题时立即报告。</w:t>
            </w:r>
          </w:p>
        </w:tc>
        <w:tc>
          <w:tcPr>
            <w:tcW w:w="1521" w:type="dxa"/>
            <w:shd w:val="clear" w:color="auto" w:fill="FFFFFF" w:themeFill="background1"/>
            <w:vAlign w:val="center"/>
          </w:tcPr>
          <w:p w14:paraId="161A6423"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textAlignment w:val="auto"/>
              <w:rPr>
                <w:rFonts w:ascii="Times New Roman" w:hAnsi="Times New Roman"/>
                <w:color w:val="auto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师讲解，学生观</w:t>
            </w:r>
          </w:p>
        </w:tc>
        <w:tc>
          <w:tcPr>
            <w:tcW w:w="1522" w:type="dxa"/>
            <w:shd w:val="clear" w:color="auto" w:fill="FFFFFF" w:themeFill="background1"/>
            <w:vAlign w:val="center"/>
          </w:tcPr>
          <w:p w14:paraId="72E257B5"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textAlignment w:val="auto"/>
              <w:rPr>
                <w:rFonts w:hint="default" w:ascii="Times New Roman" w:hAnsi="Times New Roman"/>
                <w:color w:val="auto"/>
                <w:sz w:val="24"/>
                <w:szCs w:val="24"/>
                <w:lang w:val="en-US"/>
              </w:rPr>
            </w:pPr>
            <w:r>
              <w:rPr>
                <w:rFonts w:hint="eastAsia"/>
                <w:color w:val="auto"/>
                <w:sz w:val="24"/>
                <w:szCs w:val="24"/>
                <w:lang w:val="en-US" w:eastAsia="zh-CN"/>
              </w:rPr>
              <w:t>帮助学生</w:t>
            </w:r>
            <w:r>
              <w:rPr>
                <w:rFonts w:hint="eastAsia" w:ascii="宋体" w:hAnsi="宋体" w:cs="宋体"/>
                <w:bCs/>
                <w:color w:val="auto"/>
                <w:kern w:val="2"/>
                <w:sz w:val="24"/>
                <w:szCs w:val="24"/>
                <w:lang w:val="en-US" w:eastAsia="zh-CN" w:bidi="ar-SA"/>
              </w:rPr>
              <w:t>了解</w:t>
            </w:r>
            <w:r>
              <w:rPr>
                <w:rFonts w:hint="eastAsia" w:ascii="宋体" w:hAnsi="宋体" w:eastAsia="宋体" w:cs="宋体"/>
                <w:bCs/>
                <w:color w:val="auto"/>
                <w:kern w:val="2"/>
                <w:sz w:val="24"/>
                <w:szCs w:val="24"/>
                <w:lang w:val="en-US" w:eastAsia="zh-CN" w:bidi="ar-SA"/>
              </w:rPr>
              <w:t>票务员岗位</w:t>
            </w:r>
          </w:p>
        </w:tc>
      </w:tr>
      <w:tr w14:paraId="455E282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509" w:type="dxa"/>
            <w:vMerge w:val="continue"/>
            <w:shd w:val="clear" w:color="auto" w:fill="FFFFFF" w:themeFill="background1"/>
          </w:tcPr>
          <w:p w14:paraId="228CCF22">
            <w:pPr>
              <w:rPr>
                <w:color w:val="auto"/>
              </w:rPr>
            </w:pPr>
          </w:p>
        </w:tc>
        <w:tc>
          <w:tcPr>
            <w:tcW w:w="5479" w:type="dxa"/>
            <w:shd w:val="clear" w:color="auto" w:fill="FFFFFF" w:themeFill="background1"/>
          </w:tcPr>
          <w:p w14:paraId="7447A6F6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left"/>
              <w:textAlignment w:val="auto"/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1.售票前准备工作</w:t>
            </w:r>
          </w:p>
          <w:p w14:paraId="77B32F07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left"/>
              <w:textAlignment w:val="auto"/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（1）售票前的准备工作。</w:t>
            </w:r>
          </w:p>
          <w:p w14:paraId="501DD96D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left"/>
              <w:textAlignment w:val="auto"/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①票务员在客运值班员处领取各种车票，并对相应的票务员结算单上所列车票的数量、备用金等进行核对，无误后，在票务员结算单上签收。</w:t>
            </w:r>
          </w:p>
          <w:p w14:paraId="0C3BDB3C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left"/>
              <w:textAlignment w:val="auto"/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②早班票务员在值班员处领取电子钱箱钥匙、键盘钥匙，并填写车站票务钥匙使用记录簿。</w:t>
            </w:r>
          </w:p>
          <w:p w14:paraId="6C2ECA77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left"/>
              <w:textAlignment w:val="auto"/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③交接班时，接班票务员先用点币盘准备一盘硬币，然后与上一班票务员进行电子钱箱钥匙、键盘钥匙的交接（在运营期间，键盘钥匙可一直插在键盘内不必拔出，只需由最后一班票务员拔出交回值班员处）。</w:t>
            </w:r>
          </w:p>
          <w:p w14:paraId="6EB3539B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left"/>
              <w:textAlignment w:val="auto"/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④接班票务员进入票务处（客服中心），应及时检查电子钱箱内或其他地方是否有遗留车票、现金。</w:t>
            </w:r>
          </w:p>
          <w:p w14:paraId="1D22FDD4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left"/>
              <w:textAlignment w:val="auto"/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⑤插入电子钱箱钥匙后（早班票务员需将键盘钥匙插入键盘中，并转到开启位置），在BOM上登录。</w:t>
            </w:r>
          </w:p>
          <w:p w14:paraId="2DE9084C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left"/>
              <w:textAlignment w:val="auto"/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⑥票务员按票房售票机操作手册上的要求将纸币放入BOM电子钱箱，并将用于兑零的硬币放在硬币盘或钱袋中。</w:t>
            </w:r>
          </w:p>
          <w:p w14:paraId="51F18114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left"/>
              <w:textAlignment w:val="auto"/>
              <w:rPr>
                <w:rFonts w:hint="eastAsia" w:ascii="宋体" w:hAnsi="宋体" w:eastAsia="宋体" w:cs="宋体"/>
                <w:color w:val="auto"/>
                <w:sz w:val="24"/>
                <w:szCs w:val="24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⑦票务员在确认设备正常后，开始办理车票分析、更新、发售、增值、交易查询等业务。</w:t>
            </w:r>
          </w:p>
        </w:tc>
        <w:tc>
          <w:tcPr>
            <w:tcW w:w="1521" w:type="dxa"/>
            <w:shd w:val="clear" w:color="auto" w:fill="FFFFFF" w:themeFill="background1"/>
            <w:vAlign w:val="center"/>
          </w:tcPr>
          <w:p w14:paraId="1664E4D2"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textAlignment w:val="auto"/>
              <w:rPr>
                <w:rFonts w:hint="default" w:eastAsia="宋体"/>
                <w:color w:val="auto"/>
                <w:lang w:val="en-US" w:eastAsia="zh-CN"/>
              </w:rPr>
            </w:pPr>
            <w:r>
              <w:rPr>
                <w:rFonts w:hint="eastAsia"/>
                <w:color w:val="auto"/>
                <w:sz w:val="24"/>
                <w:szCs w:val="28"/>
                <w:lang w:val="en-US" w:eastAsia="zh-CN"/>
              </w:rPr>
              <w:t>邀请学生阅读，随后老师进行讲解</w:t>
            </w:r>
          </w:p>
        </w:tc>
        <w:tc>
          <w:tcPr>
            <w:tcW w:w="1522" w:type="dxa"/>
            <w:shd w:val="clear" w:color="auto" w:fill="FFFFFF" w:themeFill="background1"/>
            <w:vAlign w:val="center"/>
          </w:tcPr>
          <w:p w14:paraId="3DD23C40"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textAlignment w:val="auto"/>
              <w:rPr>
                <w:rFonts w:hint="default" w:eastAsia="宋体"/>
                <w:color w:val="auto"/>
                <w:lang w:val="en-US" w:eastAsia="zh-CN"/>
              </w:rPr>
            </w:pPr>
            <w:r>
              <w:rPr>
                <w:rFonts w:hint="eastAsia"/>
                <w:color w:val="auto"/>
                <w:sz w:val="24"/>
                <w:szCs w:val="24"/>
                <w:lang w:val="en-US" w:eastAsia="zh-CN"/>
              </w:rPr>
              <w:t>帮助学生</w:t>
            </w:r>
            <w:r>
              <w:rPr>
                <w:rFonts w:hint="eastAsia" w:ascii="宋体" w:hAnsi="宋体" w:cs="宋体"/>
                <w:bCs/>
                <w:color w:val="auto"/>
                <w:kern w:val="2"/>
                <w:sz w:val="24"/>
                <w:szCs w:val="24"/>
                <w:lang w:val="en-US" w:eastAsia="zh-CN" w:bidi="ar-SA"/>
              </w:rPr>
              <w:t>了解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票务员售票前的准备工作</w:t>
            </w:r>
          </w:p>
        </w:tc>
      </w:tr>
      <w:tr w14:paraId="3E08D1F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509" w:type="dxa"/>
            <w:vMerge w:val="continue"/>
            <w:shd w:val="clear" w:color="auto" w:fill="FFFFFF" w:themeFill="background1"/>
          </w:tcPr>
          <w:p w14:paraId="59E4ED9C">
            <w:pPr>
              <w:rPr>
                <w:color w:val="auto"/>
              </w:rPr>
            </w:pPr>
          </w:p>
        </w:tc>
        <w:tc>
          <w:tcPr>
            <w:tcW w:w="5479" w:type="dxa"/>
            <w:shd w:val="clear" w:color="auto" w:fill="FFFFFF" w:themeFill="background1"/>
            <w:vAlign w:val="top"/>
          </w:tcPr>
          <w:p w14:paraId="23C87AE4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left"/>
              <w:textAlignment w:val="auto"/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（2）售票准备作业流程。</w:t>
            </w:r>
          </w:p>
          <w:p w14:paraId="4779880D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left"/>
              <w:textAlignment w:val="auto"/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①在首班客车抵达前15分钟抵达票务处，准备开启窗口。</w:t>
            </w:r>
          </w:p>
          <w:p w14:paraId="6A031685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left"/>
              <w:textAlignment w:val="auto"/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②确认对讲机和乘客求助按钮功能正常。</w:t>
            </w:r>
          </w:p>
          <w:p w14:paraId="7F5C7E15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left"/>
              <w:textAlignment w:val="auto"/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③核对票务设备及备用物品的状态和数量。</w:t>
            </w:r>
          </w:p>
          <w:p w14:paraId="038EF74A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left"/>
              <w:textAlignment w:val="auto"/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④审视票务处的清洁状况，包括外栏杆和立柱的陈列。</w:t>
            </w:r>
          </w:p>
          <w:p w14:paraId="4946043D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left"/>
              <w:textAlignment w:val="auto"/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⑤检查票务处内是否有不明来源的现金或车票，发现问题立即通知值班站长或值班人员。</w:t>
            </w:r>
          </w:p>
          <w:p w14:paraId="6FC438F4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left"/>
              <w:textAlignment w:val="auto"/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⑥检查并记录票务处的交接班记录本。</w:t>
            </w:r>
          </w:p>
          <w:p w14:paraId="5BE4572D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left"/>
              <w:textAlignment w:val="auto"/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⑦开启窗口开始售票。</w:t>
            </w:r>
          </w:p>
        </w:tc>
        <w:tc>
          <w:tcPr>
            <w:tcW w:w="1521" w:type="dxa"/>
            <w:shd w:val="clear" w:color="auto" w:fill="FFFFFF" w:themeFill="background1"/>
            <w:vAlign w:val="center"/>
          </w:tcPr>
          <w:p w14:paraId="3295572C"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textAlignment w:val="auto"/>
              <w:rPr>
                <w:rFonts w:hint="default" w:ascii="Calibri" w:hAnsi="Calibri" w:eastAsia="宋体" w:cs="Times New Roman"/>
                <w:color w:val="auto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师讲解，学生观</w:t>
            </w:r>
          </w:p>
        </w:tc>
        <w:tc>
          <w:tcPr>
            <w:tcW w:w="1522" w:type="dxa"/>
            <w:shd w:val="clear" w:color="auto" w:fill="FFFFFF" w:themeFill="background1"/>
            <w:vAlign w:val="center"/>
          </w:tcPr>
          <w:p w14:paraId="614ADA55"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textAlignment w:val="auto"/>
              <w:rPr>
                <w:rFonts w:hint="default" w:ascii="Calibri" w:hAnsi="Calibri" w:eastAsia="宋体" w:cs="Times New Roman"/>
                <w:color w:val="auto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/>
                <w:color w:val="auto"/>
                <w:sz w:val="24"/>
                <w:szCs w:val="24"/>
                <w:lang w:val="en-US" w:eastAsia="zh-CN"/>
              </w:rPr>
              <w:t>帮助学生</w:t>
            </w:r>
            <w:r>
              <w:rPr>
                <w:rFonts w:hint="eastAsia" w:ascii="宋体" w:hAnsi="宋体" w:cs="宋体"/>
                <w:bCs/>
                <w:color w:val="auto"/>
                <w:kern w:val="2"/>
                <w:sz w:val="24"/>
                <w:szCs w:val="24"/>
                <w:lang w:val="en-US" w:eastAsia="zh-CN" w:bidi="ar-SA"/>
              </w:rPr>
              <w:t>了解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售票准备作业流程</w:t>
            </w:r>
          </w:p>
        </w:tc>
      </w:tr>
      <w:tr w14:paraId="0C43DF1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509" w:type="dxa"/>
            <w:vMerge w:val="continue"/>
            <w:shd w:val="clear" w:color="auto" w:fill="FFFFFF" w:themeFill="background1"/>
          </w:tcPr>
          <w:p w14:paraId="0B2DAE52">
            <w:pPr>
              <w:rPr>
                <w:color w:val="auto"/>
              </w:rPr>
            </w:pPr>
          </w:p>
        </w:tc>
        <w:tc>
          <w:tcPr>
            <w:tcW w:w="5479" w:type="dxa"/>
            <w:shd w:val="clear" w:color="auto" w:fill="FFFFFF" w:themeFill="background1"/>
          </w:tcPr>
          <w:p w14:paraId="13378DD1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left"/>
              <w:textAlignment w:val="auto"/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（3）配票作业。</w:t>
            </w:r>
          </w:p>
          <w:p w14:paraId="78DC36C9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left"/>
              <w:textAlignment w:val="auto"/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①车站票务员配票作业安全要点。在配发车票时，票务员需与客运值班员共同在场，两人必须共同清点所有车票及备用金，并进行签章确认。票务室内的配票活动应处于监控摄像头的覆盖范围内，并确保票务室门已安全锁闭。这样做是为了避免在填写报表或操作车站计算机时发生错误或遗漏。</w:t>
            </w:r>
          </w:p>
        </w:tc>
        <w:tc>
          <w:tcPr>
            <w:tcW w:w="1521" w:type="dxa"/>
            <w:shd w:val="clear" w:color="auto" w:fill="FFFFFF" w:themeFill="background1"/>
            <w:vAlign w:val="center"/>
          </w:tcPr>
          <w:p w14:paraId="48EEE735"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textAlignment w:val="auto"/>
              <w:rPr>
                <w:rFonts w:hint="default" w:ascii="Times New Roman" w:hAnsi="Times New Roman" w:eastAsia="宋体"/>
                <w:color w:val="auto"/>
                <w:sz w:val="24"/>
                <w:szCs w:val="24"/>
                <w:lang w:val="en-US" w:eastAsia="zh-CN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师讲解，学生观</w:t>
            </w:r>
          </w:p>
        </w:tc>
        <w:tc>
          <w:tcPr>
            <w:tcW w:w="1522" w:type="dxa"/>
            <w:shd w:val="clear" w:color="auto" w:fill="FFFFFF" w:themeFill="background1"/>
            <w:vAlign w:val="center"/>
          </w:tcPr>
          <w:p w14:paraId="5A514013"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textAlignment w:val="auto"/>
              <w:rPr>
                <w:rFonts w:hint="eastAsia" w:ascii="Calibri" w:hAnsi="Calibri" w:eastAsia="宋体" w:cs="Times New Roman"/>
                <w:color w:val="auto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/>
                <w:color w:val="auto"/>
                <w:sz w:val="24"/>
                <w:szCs w:val="24"/>
                <w:lang w:val="en-US" w:eastAsia="zh-CN"/>
              </w:rPr>
              <w:t>帮助学生</w:t>
            </w:r>
            <w:r>
              <w:rPr>
                <w:rFonts w:hint="eastAsia" w:ascii="宋体" w:hAnsi="宋体" w:cs="宋体"/>
                <w:bCs/>
                <w:color w:val="auto"/>
                <w:kern w:val="2"/>
                <w:sz w:val="24"/>
                <w:szCs w:val="24"/>
                <w:lang w:val="en-US" w:eastAsia="zh-CN" w:bidi="ar-SA"/>
              </w:rPr>
              <w:t>了解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车站票务员配票作业安全要点</w:t>
            </w:r>
          </w:p>
        </w:tc>
      </w:tr>
      <w:tr w14:paraId="34FEF11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509" w:type="dxa"/>
            <w:vMerge w:val="continue"/>
            <w:shd w:val="clear" w:color="auto" w:fill="FFFFFF" w:themeFill="background1"/>
          </w:tcPr>
          <w:p w14:paraId="2578720A">
            <w:pPr>
              <w:rPr>
                <w:color w:val="auto"/>
              </w:rPr>
            </w:pPr>
          </w:p>
        </w:tc>
        <w:tc>
          <w:tcPr>
            <w:tcW w:w="5479" w:type="dxa"/>
            <w:shd w:val="clear" w:color="auto" w:fill="FFFFFF" w:themeFill="background1"/>
          </w:tcPr>
          <w:p w14:paraId="0E66B3C6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left"/>
              <w:textAlignment w:val="auto"/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②车站票务员的配票作业标准。车站票务员的配票作业标准如表7-1所示。</w:t>
            </w:r>
          </w:p>
          <w:p w14:paraId="0CF56A90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left"/>
              <w:textAlignment w:val="auto"/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  <w:drawing>
                <wp:inline distT="0" distB="0" distL="114300" distR="114300">
                  <wp:extent cx="3333750" cy="1877060"/>
                  <wp:effectExtent l="0" t="0" r="0" b="8890"/>
                  <wp:docPr id="19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33750" cy="18770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21" w:type="dxa"/>
            <w:shd w:val="clear" w:color="auto" w:fill="FFFFFF" w:themeFill="background1"/>
            <w:vAlign w:val="center"/>
          </w:tcPr>
          <w:p w14:paraId="7A977FA4"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textAlignment w:val="auto"/>
              <w:rPr>
                <w:rFonts w:hint="default" w:ascii="Times New Roman" w:hAnsi="Times New Roman" w:eastAsia="宋体"/>
                <w:sz w:val="24"/>
                <w:szCs w:val="24"/>
                <w:lang w:val="en-US" w:eastAsia="zh-CN"/>
              </w:rPr>
            </w:pPr>
            <w:r>
              <w:rPr>
                <w:rFonts w:hint="eastAsia" w:ascii="Times New Roman" w:hAnsi="Times New Roman"/>
                <w:sz w:val="24"/>
                <w:szCs w:val="24"/>
                <w:lang w:val="en-US" w:eastAsia="zh-CN"/>
              </w:rPr>
              <w:t>展示表格</w:t>
            </w:r>
          </w:p>
          <w:p w14:paraId="25714B2D"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textAlignment w:val="auto"/>
              <w:rPr>
                <w:rFonts w:hint="default" w:ascii="Times New Roman" w:hAnsi="Times New Roman" w:eastAsia="宋体" w:cs="Times New Roman"/>
                <w:color w:val="auto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Times New Roman" w:hAnsi="Times New Roman" w:cs="Times New Roman"/>
                <w:color w:val="auto"/>
                <w:kern w:val="2"/>
                <w:sz w:val="24"/>
                <w:szCs w:val="24"/>
                <w:lang w:val="en-US" w:eastAsia="zh-CN" w:bidi="ar-SA"/>
              </w:rPr>
              <w:t>邀请学生阅读</w:t>
            </w:r>
          </w:p>
        </w:tc>
        <w:tc>
          <w:tcPr>
            <w:tcW w:w="1522" w:type="dxa"/>
            <w:shd w:val="clear" w:color="auto" w:fill="FFFFFF" w:themeFill="background1"/>
            <w:vAlign w:val="center"/>
          </w:tcPr>
          <w:p w14:paraId="2ACC6657"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textAlignment w:val="auto"/>
              <w:rPr>
                <w:rFonts w:hint="eastAsia" w:ascii="Times New Roman" w:hAnsi="Times New Roman" w:eastAsia="宋体" w:cs="Times New Roman"/>
                <w:color w:val="auto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Times New Roman" w:hAnsi="Times New Roman"/>
                <w:color w:val="auto"/>
                <w:sz w:val="24"/>
                <w:szCs w:val="24"/>
                <w:lang w:val="en-US" w:eastAsia="zh-CN"/>
              </w:rPr>
              <w:t>帮助</w:t>
            </w:r>
            <w:r>
              <w:rPr>
                <w:rFonts w:hint="eastAsia" w:ascii="Times New Roman" w:hAnsi="Times New Roman"/>
                <w:color w:val="auto"/>
                <w:sz w:val="24"/>
                <w:szCs w:val="24"/>
              </w:rPr>
              <w:t>学生了解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车站票务员的配票作业标准</w:t>
            </w:r>
          </w:p>
        </w:tc>
      </w:tr>
      <w:tr w14:paraId="5F624FE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509" w:type="dxa"/>
            <w:vMerge w:val="continue"/>
            <w:shd w:val="clear" w:color="auto" w:fill="FFFFFF" w:themeFill="background1"/>
          </w:tcPr>
          <w:p w14:paraId="70176955">
            <w:pPr>
              <w:rPr>
                <w:color w:val="auto"/>
              </w:rPr>
            </w:pPr>
          </w:p>
        </w:tc>
        <w:tc>
          <w:tcPr>
            <w:tcW w:w="5479" w:type="dxa"/>
            <w:shd w:val="clear" w:color="auto" w:fill="FFFFFF" w:themeFill="background1"/>
          </w:tcPr>
          <w:p w14:paraId="05FA1F56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left"/>
              <w:textAlignment w:val="auto"/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2.售票作业</w:t>
            </w:r>
          </w:p>
          <w:p w14:paraId="257500DF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left"/>
              <w:textAlignment w:val="auto"/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（1）售票的作业程序。</w:t>
            </w:r>
          </w:p>
          <w:p w14:paraId="0620159B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left"/>
              <w:textAlignment w:val="auto"/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票务员要同时兼顾付费区和非付费区的乘客事务，当付费区、非付费区都有乘客需办理业务时，原则上应先处理付费区的乘客业务，请非付费区的乘客稍等。售票时应严格按照“一收、二唱、三操作、四找零”的作业程序，如表7-2所示。</w:t>
            </w:r>
          </w:p>
          <w:p w14:paraId="3530CB97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left"/>
              <w:textAlignment w:val="auto"/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  <w:drawing>
                <wp:inline distT="0" distB="0" distL="114300" distR="114300">
                  <wp:extent cx="3338830" cy="1108075"/>
                  <wp:effectExtent l="0" t="0" r="13970" b="15875"/>
                  <wp:docPr id="23" name="图片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" name="图片 2"/>
                          <pic:cNvPicPr>
                            <a:picLocks noChangeAspect="1"/>
                          </pic:cNvPicPr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38830" cy="11080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21" w:type="dxa"/>
            <w:shd w:val="clear" w:color="auto" w:fill="FFFFFF" w:themeFill="background1"/>
            <w:vAlign w:val="center"/>
          </w:tcPr>
          <w:p w14:paraId="4B96839E"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textAlignment w:val="auto"/>
              <w:rPr>
                <w:rFonts w:hint="default" w:ascii="Times New Roman" w:hAnsi="Times New Roman" w:eastAsia="宋体"/>
                <w:sz w:val="24"/>
                <w:szCs w:val="24"/>
                <w:lang w:val="en-US" w:eastAsia="zh-CN"/>
              </w:rPr>
            </w:pPr>
            <w:r>
              <w:rPr>
                <w:rFonts w:hint="eastAsia" w:ascii="Times New Roman" w:hAnsi="Times New Roman"/>
                <w:sz w:val="24"/>
                <w:szCs w:val="24"/>
                <w:lang w:val="en-US" w:eastAsia="zh-CN"/>
              </w:rPr>
              <w:t>展示表格</w:t>
            </w:r>
          </w:p>
          <w:p w14:paraId="46C7959F"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textAlignment w:val="auto"/>
              <w:rPr>
                <w:rFonts w:hint="eastAsia" w:ascii="Times New Roman" w:hAnsi="Times New Roman" w:eastAsia="宋体" w:cs="Times New Roman"/>
                <w:color w:val="auto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师讲解，学生观</w:t>
            </w:r>
          </w:p>
        </w:tc>
        <w:tc>
          <w:tcPr>
            <w:tcW w:w="1522" w:type="dxa"/>
            <w:shd w:val="clear" w:color="auto" w:fill="FFFFFF" w:themeFill="background1"/>
            <w:vAlign w:val="center"/>
          </w:tcPr>
          <w:p w14:paraId="30907DCC"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textAlignment w:val="auto"/>
              <w:rPr>
                <w:rFonts w:hint="eastAsia" w:ascii="Times New Roman" w:hAnsi="Times New Roman"/>
                <w:color w:val="auto"/>
                <w:sz w:val="24"/>
                <w:szCs w:val="24"/>
                <w:lang w:val="en-US" w:eastAsia="zh-CN"/>
              </w:rPr>
            </w:pPr>
            <w:r>
              <w:rPr>
                <w:rFonts w:hint="eastAsia"/>
                <w:color w:val="auto"/>
                <w:sz w:val="24"/>
                <w:szCs w:val="24"/>
                <w:lang w:val="en-US" w:eastAsia="zh-CN"/>
              </w:rPr>
              <w:t>帮助学生</w:t>
            </w:r>
            <w:r>
              <w:rPr>
                <w:rFonts w:hint="eastAsia" w:ascii="宋体" w:hAnsi="宋体" w:cs="宋体"/>
                <w:bCs/>
                <w:color w:val="auto"/>
                <w:kern w:val="2"/>
                <w:sz w:val="24"/>
                <w:szCs w:val="24"/>
                <w:lang w:val="en-US" w:eastAsia="zh-CN" w:bidi="ar-SA"/>
              </w:rPr>
              <w:t>了解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售票的作业程序</w:t>
            </w:r>
          </w:p>
        </w:tc>
      </w:tr>
      <w:tr w14:paraId="70FF446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509" w:type="dxa"/>
            <w:vMerge w:val="continue"/>
            <w:shd w:val="clear" w:color="auto" w:fill="FFFFFF" w:themeFill="background1"/>
          </w:tcPr>
          <w:p w14:paraId="44888C62">
            <w:pPr>
              <w:rPr>
                <w:color w:val="auto"/>
              </w:rPr>
            </w:pPr>
          </w:p>
        </w:tc>
        <w:tc>
          <w:tcPr>
            <w:tcW w:w="5479" w:type="dxa"/>
            <w:shd w:val="clear" w:color="auto" w:fill="FFFFFF" w:themeFill="background1"/>
          </w:tcPr>
          <w:p w14:paraId="5BC44045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left"/>
              <w:textAlignment w:val="auto"/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（2）售票的注意事项。</w:t>
            </w:r>
          </w:p>
          <w:p w14:paraId="1B7C46A0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left"/>
              <w:textAlignment w:val="auto"/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①在运营时间内，各车站根据站内客流情况决定开放票务处的数量。</w:t>
            </w:r>
          </w:p>
          <w:p w14:paraId="506AB12E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left"/>
              <w:textAlignment w:val="auto"/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②严禁票务员携带私款、私人车票进入票务处。</w:t>
            </w:r>
          </w:p>
          <w:p w14:paraId="25091C76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left"/>
              <w:textAlignment w:val="auto"/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③在处理乘客事务的过程中，当有任何需要上级确认的问题时，应立即通知相关人员处理。</w:t>
            </w:r>
          </w:p>
          <w:p w14:paraId="6BFC4262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left"/>
              <w:textAlignment w:val="auto"/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④票务员携带车票及现金往返票亭时，必须将现金和车票放入上锁的售票盒，并放入上锁的手推车中，由票务员负责运送及运送途中的安全。</w:t>
            </w:r>
          </w:p>
          <w:p w14:paraId="049203BF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left"/>
              <w:textAlignment w:val="auto"/>
              <w:rPr>
                <w:rFonts w:hint="eastAsia" w:ascii="宋体" w:hAnsi="宋体" w:eastAsia="宋体" w:cs="宋体"/>
                <w:bCs/>
                <w:color w:val="auto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⑤保证票务处的门处于锁闭状态。</w:t>
            </w:r>
          </w:p>
        </w:tc>
        <w:tc>
          <w:tcPr>
            <w:tcW w:w="1521" w:type="dxa"/>
            <w:shd w:val="clear" w:color="auto" w:fill="FFFFFF" w:themeFill="background1"/>
            <w:vAlign w:val="center"/>
          </w:tcPr>
          <w:p w14:paraId="00BF85F3"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textAlignment w:val="auto"/>
              <w:rPr>
                <w:rFonts w:hint="default" w:eastAsia="宋体"/>
                <w:color w:val="auto"/>
                <w:lang w:val="en-US" w:eastAsia="zh-CN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师讲解，学生观</w:t>
            </w:r>
          </w:p>
        </w:tc>
        <w:tc>
          <w:tcPr>
            <w:tcW w:w="1522" w:type="dxa"/>
            <w:shd w:val="clear" w:color="auto" w:fill="FFFFFF" w:themeFill="background1"/>
            <w:vAlign w:val="center"/>
          </w:tcPr>
          <w:p w14:paraId="3FA67C67"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textAlignment w:val="auto"/>
              <w:rPr>
                <w:color w:val="auto"/>
              </w:rPr>
            </w:pPr>
            <w:r>
              <w:rPr>
                <w:rFonts w:hint="eastAsia" w:ascii="Times New Roman" w:hAnsi="Times New Roman"/>
                <w:color w:val="auto"/>
                <w:sz w:val="24"/>
                <w:szCs w:val="24"/>
                <w:lang w:val="en-US" w:eastAsia="zh-CN"/>
              </w:rPr>
              <w:t>帮助</w:t>
            </w:r>
            <w:r>
              <w:rPr>
                <w:rFonts w:hint="eastAsia" w:ascii="Times New Roman" w:hAnsi="Times New Roman"/>
                <w:color w:val="auto"/>
                <w:sz w:val="24"/>
                <w:szCs w:val="24"/>
              </w:rPr>
              <w:t>学生了解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售票的注意事项</w:t>
            </w:r>
          </w:p>
        </w:tc>
      </w:tr>
      <w:tr w14:paraId="6679C02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509" w:type="dxa"/>
            <w:vMerge w:val="continue"/>
            <w:shd w:val="clear" w:color="auto" w:fill="FFFFFF" w:themeFill="background1"/>
          </w:tcPr>
          <w:p w14:paraId="0BEFD3C0">
            <w:pPr>
              <w:rPr>
                <w:color w:val="auto"/>
              </w:rPr>
            </w:pPr>
          </w:p>
        </w:tc>
        <w:tc>
          <w:tcPr>
            <w:tcW w:w="5479" w:type="dxa"/>
            <w:shd w:val="clear" w:color="auto" w:fill="FFFFFF" w:themeFill="background1"/>
          </w:tcPr>
          <w:p w14:paraId="144A2564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left"/>
              <w:textAlignment w:val="auto"/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3.交接班作业</w:t>
            </w:r>
          </w:p>
          <w:p w14:paraId="001DC72F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left"/>
              <w:textAlignment w:val="auto"/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（1）车站交接班工作基本原则。</w:t>
            </w:r>
          </w:p>
          <w:p w14:paraId="5CC13046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left"/>
              <w:textAlignment w:val="auto"/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①明确且全面。确保接班者能够通过《当班情况登记本》掌握前一班发生的关键事件，无任何疏漏。</w:t>
            </w:r>
          </w:p>
          <w:p w14:paraId="1409A526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left"/>
              <w:textAlignment w:val="auto"/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②关键信息要突出，次要信息要简洁。对于重要事项需详细记录，而一般事项则应简明扼要。</w:t>
            </w:r>
          </w:p>
          <w:p w14:paraId="7BCD65AF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left"/>
              <w:textAlignment w:val="auto"/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③确保事项有追踪和执行。前一班交接的事务，无论是已完成的还是需要下一班继续处理的，都应在《当班情况登记本》中明确标注，包括完成情况或当前进度，以及下一班需要采取的跟进措施。</w:t>
            </w:r>
          </w:p>
          <w:p w14:paraId="49A90D6F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left"/>
              <w:textAlignment w:val="auto"/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④交接班工作应在不干扰客户服务的前提下进行，以防止乘客投诉事件的发生。</w:t>
            </w:r>
          </w:p>
          <w:p w14:paraId="1E5D5B9A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left"/>
              <w:textAlignment w:val="auto"/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⑤交班人员必须确认BOM已退出，接班人员必须用自己的账号和密码登录，以避免票务违规行为。</w:t>
            </w:r>
          </w:p>
          <w:p w14:paraId="3B321324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left"/>
              <w:textAlignment w:val="auto"/>
              <w:rPr>
                <w:rFonts w:hint="eastAsia" w:ascii="宋体" w:hAnsi="宋体" w:eastAsia="宋体" w:cs="宋体"/>
                <w:bCs/>
                <w:color w:val="auto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⑥票务员应随身携带配票箱，在配发票务时必须确保配票箱处于锁闭状态，保障资金和票据的安全。</w:t>
            </w:r>
          </w:p>
        </w:tc>
        <w:tc>
          <w:tcPr>
            <w:tcW w:w="1521" w:type="dxa"/>
            <w:shd w:val="clear" w:color="auto" w:fill="FFFFFF" w:themeFill="background1"/>
            <w:vAlign w:val="center"/>
          </w:tcPr>
          <w:p w14:paraId="4D24B368"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textAlignment w:val="auto"/>
              <w:rPr>
                <w:color w:val="auto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师讲解，学生观</w:t>
            </w:r>
          </w:p>
        </w:tc>
        <w:tc>
          <w:tcPr>
            <w:tcW w:w="1522" w:type="dxa"/>
            <w:shd w:val="clear" w:color="auto" w:fill="FFFFFF" w:themeFill="background1"/>
            <w:vAlign w:val="center"/>
          </w:tcPr>
          <w:p w14:paraId="4D1CD73B"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textAlignment w:val="auto"/>
              <w:rPr>
                <w:color w:val="auto"/>
              </w:rPr>
            </w:pPr>
            <w:r>
              <w:rPr>
                <w:rFonts w:hint="eastAsia" w:ascii="Times New Roman" w:hAnsi="Times New Roman"/>
                <w:color w:val="auto"/>
                <w:sz w:val="24"/>
                <w:szCs w:val="24"/>
                <w:lang w:val="en-US" w:eastAsia="zh-CN"/>
              </w:rPr>
              <w:t>帮助</w:t>
            </w:r>
            <w:r>
              <w:rPr>
                <w:rFonts w:hint="eastAsia" w:ascii="Times New Roman" w:hAnsi="Times New Roman"/>
                <w:color w:val="auto"/>
                <w:sz w:val="24"/>
                <w:szCs w:val="24"/>
              </w:rPr>
              <w:t>学生了解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车站交接班工作基本原则</w:t>
            </w:r>
          </w:p>
        </w:tc>
      </w:tr>
      <w:tr w14:paraId="310C1BA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509" w:type="dxa"/>
            <w:vMerge w:val="continue"/>
            <w:shd w:val="clear" w:color="auto" w:fill="FFFFFF" w:themeFill="background1"/>
          </w:tcPr>
          <w:p w14:paraId="67CCC00D">
            <w:pPr>
              <w:rPr>
                <w:color w:val="auto"/>
              </w:rPr>
            </w:pPr>
          </w:p>
        </w:tc>
        <w:tc>
          <w:tcPr>
            <w:tcW w:w="5479" w:type="dxa"/>
            <w:shd w:val="clear" w:color="auto" w:fill="FFFFFF" w:themeFill="background1"/>
          </w:tcPr>
          <w:p w14:paraId="0B7F7567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left"/>
              <w:textAlignment w:val="auto"/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（2）车站票务员交接班作业标准。</w:t>
            </w:r>
          </w:p>
          <w:p w14:paraId="2ACDDA6E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left"/>
              <w:textAlignment w:val="auto"/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车站票务员交接班作业标准如表7-3所示。</w:t>
            </w:r>
          </w:p>
          <w:p w14:paraId="2353F00A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left"/>
              <w:textAlignment w:val="auto"/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  <w:drawing>
                <wp:inline distT="0" distB="0" distL="114300" distR="114300">
                  <wp:extent cx="3336925" cy="1220470"/>
                  <wp:effectExtent l="0" t="0" r="15875" b="17780"/>
                  <wp:docPr id="24" name="图片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" name="图片 3"/>
                          <pic:cNvPicPr>
                            <a:picLocks noChangeAspect="1"/>
                          </pic:cNvPicPr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36925" cy="12204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21" w:type="dxa"/>
            <w:shd w:val="clear" w:color="auto" w:fill="FFFFFF" w:themeFill="background1"/>
            <w:vAlign w:val="center"/>
          </w:tcPr>
          <w:p w14:paraId="082DECFD"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textAlignment w:val="auto"/>
              <w:rPr>
                <w:rFonts w:hint="default" w:ascii="Times New Roman" w:hAnsi="Times New Roman" w:eastAsia="宋体"/>
                <w:sz w:val="24"/>
                <w:szCs w:val="24"/>
                <w:lang w:val="en-US" w:eastAsia="zh-CN"/>
              </w:rPr>
            </w:pPr>
            <w:r>
              <w:rPr>
                <w:rFonts w:hint="eastAsia" w:ascii="Times New Roman" w:hAnsi="Times New Roman"/>
                <w:sz w:val="24"/>
                <w:szCs w:val="24"/>
                <w:lang w:val="en-US" w:eastAsia="zh-CN"/>
              </w:rPr>
              <w:t>展示表格</w:t>
            </w:r>
          </w:p>
          <w:p w14:paraId="4DAA0D86"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textAlignment w:val="auto"/>
              <w:rPr>
                <w:color w:val="auto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师讲解，学生观</w:t>
            </w:r>
          </w:p>
        </w:tc>
        <w:tc>
          <w:tcPr>
            <w:tcW w:w="1522" w:type="dxa"/>
            <w:shd w:val="clear" w:color="auto" w:fill="FFFFFF" w:themeFill="background1"/>
            <w:vAlign w:val="center"/>
          </w:tcPr>
          <w:p w14:paraId="28ED4210"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textAlignment w:val="auto"/>
              <w:rPr>
                <w:rFonts w:hint="default"/>
                <w:color w:val="auto"/>
                <w:lang w:val="en-US"/>
              </w:rPr>
            </w:pPr>
            <w:r>
              <w:rPr>
                <w:rFonts w:hint="eastAsia"/>
                <w:color w:val="auto"/>
                <w:sz w:val="24"/>
                <w:szCs w:val="24"/>
                <w:lang w:val="en-US" w:eastAsia="zh-CN"/>
              </w:rPr>
              <w:t>帮助学生</w:t>
            </w:r>
            <w:r>
              <w:rPr>
                <w:rFonts w:hint="eastAsia" w:ascii="宋体" w:hAnsi="宋体" w:cs="宋体"/>
                <w:bCs/>
                <w:color w:val="auto"/>
                <w:kern w:val="2"/>
                <w:sz w:val="24"/>
                <w:szCs w:val="24"/>
                <w:lang w:val="en-US" w:eastAsia="zh-CN" w:bidi="ar-SA"/>
              </w:rPr>
              <w:t>了解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车站票务员交接班作业标准</w:t>
            </w:r>
          </w:p>
        </w:tc>
      </w:tr>
      <w:tr w14:paraId="1C331BE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509" w:type="dxa"/>
            <w:vMerge w:val="continue"/>
            <w:shd w:val="clear" w:color="auto" w:fill="FFFFFF" w:themeFill="background1"/>
          </w:tcPr>
          <w:p w14:paraId="388EC112">
            <w:pPr>
              <w:rPr>
                <w:color w:val="auto"/>
              </w:rPr>
            </w:pPr>
          </w:p>
        </w:tc>
        <w:tc>
          <w:tcPr>
            <w:tcW w:w="5479" w:type="dxa"/>
            <w:shd w:val="clear" w:color="auto" w:fill="FFFFFF" w:themeFill="background1"/>
          </w:tcPr>
          <w:p w14:paraId="7BB2CAF4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left"/>
              <w:textAlignment w:val="auto"/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4.结算作业</w:t>
            </w:r>
          </w:p>
          <w:p w14:paraId="2F4B9FEE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left"/>
              <w:textAlignment w:val="auto"/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（1）车站结算作业工作基本原则。</w:t>
            </w:r>
          </w:p>
          <w:p w14:paraId="18E10E86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left"/>
              <w:textAlignment w:val="auto"/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①票务员携带本班所有现金、车票及各类报表回AFC室后，与客运值班员一起清点剩余硬币和票盒内所有纸币。</w:t>
            </w:r>
          </w:p>
          <w:p w14:paraId="6E9A276B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left"/>
              <w:textAlignment w:val="auto"/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②票款清点完毕并确认后，客运值班员立即将实收金额填在票务员结算单的“实收总金额”栏。</w:t>
            </w:r>
          </w:p>
          <w:p w14:paraId="05E89CB8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left"/>
              <w:textAlignment w:val="auto"/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③票务员清点各票种的关窗张数，填写票务员结算单的相应栏内。</w:t>
            </w:r>
          </w:p>
          <w:p w14:paraId="0E21A009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left"/>
              <w:textAlignment w:val="auto"/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④票务员与客运值班员共同清点当班回收的各类车票，并分类加封。</w:t>
            </w:r>
          </w:p>
          <w:p w14:paraId="456CE437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left"/>
              <w:textAlignment w:val="auto"/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⑤客运值班员根据车站计算机报表计算应收金额，根据车票退款记录表、乘客事务处理单计算差额，并在票务结算单“备注”栏注明差额产生的原因。</w:t>
            </w:r>
          </w:p>
          <w:p w14:paraId="31F6DE4C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left"/>
              <w:textAlignment w:val="auto"/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⑥若差额中没有长、短款，则客运值班员通知票务员下班。</w:t>
            </w:r>
          </w:p>
          <w:p w14:paraId="3E9FB17B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left"/>
              <w:textAlignment w:val="auto"/>
              <w:rPr>
                <w:rFonts w:hint="eastAsia" w:ascii="宋体" w:hAnsi="宋体" w:eastAsia="宋体" w:cs="宋体"/>
                <w:bCs/>
                <w:color w:val="auto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⑦若差额没有长、短款，则客运值班员根据票务员结算单“实收总金额”栏内数目计入营收日报的“实收总金额”栏。</w:t>
            </w:r>
          </w:p>
        </w:tc>
        <w:tc>
          <w:tcPr>
            <w:tcW w:w="1521" w:type="dxa"/>
            <w:shd w:val="clear" w:color="auto" w:fill="FFFFFF" w:themeFill="background1"/>
            <w:vAlign w:val="center"/>
          </w:tcPr>
          <w:p w14:paraId="6B910D70"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textAlignment w:val="auto"/>
              <w:rPr>
                <w:rFonts w:hint="default" w:eastAsia="宋体"/>
                <w:color w:val="auto"/>
                <w:lang w:val="en-US" w:eastAsia="zh-CN"/>
              </w:rPr>
            </w:pPr>
            <w:r>
              <w:rPr>
                <w:rFonts w:hint="eastAsia" w:ascii="Times New Roman" w:hAnsi="Times New Roman" w:cs="Times New Roman"/>
                <w:color w:val="auto"/>
                <w:kern w:val="2"/>
                <w:sz w:val="24"/>
                <w:szCs w:val="24"/>
                <w:lang w:val="en-US" w:eastAsia="zh-CN" w:bidi="ar-SA"/>
              </w:rPr>
              <w:t>邀请学生阅读</w:t>
            </w:r>
          </w:p>
        </w:tc>
        <w:tc>
          <w:tcPr>
            <w:tcW w:w="1522" w:type="dxa"/>
            <w:shd w:val="clear" w:color="auto" w:fill="FFFFFF" w:themeFill="background1"/>
            <w:vAlign w:val="center"/>
          </w:tcPr>
          <w:p w14:paraId="36BD6E09"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textAlignment w:val="auto"/>
              <w:rPr>
                <w:color w:val="auto"/>
              </w:rPr>
            </w:pPr>
            <w:r>
              <w:rPr>
                <w:rFonts w:hint="eastAsia" w:ascii="Times New Roman" w:hAnsi="Times New Roman"/>
                <w:color w:val="auto"/>
                <w:sz w:val="24"/>
                <w:szCs w:val="24"/>
                <w:lang w:val="en-US" w:eastAsia="zh-CN"/>
              </w:rPr>
              <w:t>帮助</w:t>
            </w:r>
            <w:r>
              <w:rPr>
                <w:rFonts w:hint="eastAsia" w:ascii="Times New Roman" w:hAnsi="Times New Roman"/>
                <w:color w:val="auto"/>
                <w:sz w:val="24"/>
                <w:szCs w:val="24"/>
              </w:rPr>
              <w:t>学生了解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车站结算作业工作基本原则</w:t>
            </w:r>
          </w:p>
        </w:tc>
      </w:tr>
      <w:tr w14:paraId="766A219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509" w:type="dxa"/>
            <w:vMerge w:val="continue"/>
            <w:shd w:val="clear" w:color="auto" w:fill="FFFFFF" w:themeFill="background1"/>
          </w:tcPr>
          <w:p w14:paraId="6FC2FF9A">
            <w:pPr>
              <w:rPr>
                <w:color w:val="auto"/>
              </w:rPr>
            </w:pPr>
          </w:p>
        </w:tc>
        <w:tc>
          <w:tcPr>
            <w:tcW w:w="5479" w:type="dxa"/>
            <w:shd w:val="clear" w:color="auto" w:fill="FFFFFF" w:themeFill="background1"/>
          </w:tcPr>
          <w:p w14:paraId="2F68F0A8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left"/>
              <w:textAlignment w:val="auto"/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（2）车站票务员结算作业标准。</w:t>
            </w:r>
          </w:p>
          <w:p w14:paraId="205DCFD6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left"/>
              <w:textAlignment w:val="auto"/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车站票务员结算作业标准如表7-4所示。</w:t>
            </w:r>
          </w:p>
          <w:p w14:paraId="0CC594F4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left"/>
              <w:textAlignment w:val="auto"/>
              <w:rPr>
                <w:rFonts w:hint="eastAsia" w:ascii="宋体" w:hAnsi="宋体" w:eastAsia="宋体" w:cs="宋体"/>
                <w:bCs/>
                <w:color w:val="auto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  <w:drawing>
                <wp:inline distT="0" distB="0" distL="114300" distR="114300">
                  <wp:extent cx="3335020" cy="2072640"/>
                  <wp:effectExtent l="0" t="0" r="17780" b="3810"/>
                  <wp:docPr id="33" name="图片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3" name="图片 4"/>
                          <pic:cNvPicPr>
                            <a:picLocks noChangeAspect="1"/>
                          </pic:cNvPicPr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35020" cy="20726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21" w:type="dxa"/>
            <w:shd w:val="clear" w:color="auto" w:fill="FFFFFF" w:themeFill="background1"/>
            <w:vAlign w:val="center"/>
          </w:tcPr>
          <w:p w14:paraId="470E17BC"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textAlignment w:val="auto"/>
              <w:rPr>
                <w:rFonts w:hint="default" w:ascii="Times New Roman" w:hAnsi="Times New Roman" w:eastAsia="宋体"/>
                <w:sz w:val="24"/>
                <w:szCs w:val="24"/>
                <w:lang w:val="en-US" w:eastAsia="zh-CN"/>
              </w:rPr>
            </w:pPr>
            <w:r>
              <w:rPr>
                <w:rFonts w:hint="eastAsia" w:ascii="Times New Roman" w:hAnsi="Times New Roman"/>
                <w:sz w:val="24"/>
                <w:szCs w:val="24"/>
                <w:lang w:val="en-US" w:eastAsia="zh-CN"/>
              </w:rPr>
              <w:t>展示表格</w:t>
            </w:r>
          </w:p>
          <w:p w14:paraId="3F3127AE"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textAlignment w:val="auto"/>
              <w:rPr>
                <w:rFonts w:ascii="Calibri" w:hAnsi="Calibri" w:eastAsia="宋体" w:cs="Times New Roman"/>
                <w:color w:val="auto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师讲解，学生观</w:t>
            </w:r>
          </w:p>
        </w:tc>
        <w:tc>
          <w:tcPr>
            <w:tcW w:w="1522" w:type="dxa"/>
            <w:shd w:val="clear" w:color="auto" w:fill="FFFFFF" w:themeFill="background1"/>
            <w:vAlign w:val="center"/>
          </w:tcPr>
          <w:p w14:paraId="72425956"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textAlignment w:val="auto"/>
              <w:rPr>
                <w:rFonts w:hint="default" w:ascii="Calibri" w:hAnsi="Calibri" w:eastAsia="宋体" w:cs="Times New Roman"/>
                <w:color w:val="auto"/>
                <w:kern w:val="2"/>
                <w:sz w:val="21"/>
                <w:szCs w:val="22"/>
                <w:lang w:val="en-US" w:eastAsia="zh-CN" w:bidi="ar-SA"/>
              </w:rPr>
            </w:pPr>
            <w:r>
              <w:rPr>
                <w:rFonts w:hint="eastAsia"/>
                <w:color w:val="auto"/>
                <w:sz w:val="24"/>
                <w:szCs w:val="24"/>
                <w:lang w:val="en-US" w:eastAsia="zh-CN"/>
              </w:rPr>
              <w:t>帮助学生</w:t>
            </w:r>
            <w:r>
              <w:rPr>
                <w:rFonts w:hint="eastAsia" w:ascii="宋体" w:hAnsi="宋体" w:cs="宋体"/>
                <w:bCs/>
                <w:color w:val="auto"/>
                <w:kern w:val="2"/>
                <w:sz w:val="24"/>
                <w:szCs w:val="24"/>
                <w:lang w:val="en-US" w:eastAsia="zh-CN" w:bidi="ar-SA"/>
              </w:rPr>
              <w:t>了解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车站票务员结算作业标准</w:t>
            </w:r>
          </w:p>
        </w:tc>
      </w:tr>
      <w:tr w14:paraId="1B2AF5B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509" w:type="dxa"/>
            <w:vMerge w:val="continue"/>
            <w:shd w:val="clear" w:color="auto" w:fill="FFFFFF" w:themeFill="background1"/>
          </w:tcPr>
          <w:p w14:paraId="11C8CFD6">
            <w:pPr>
              <w:rPr>
                <w:color w:val="auto"/>
              </w:rPr>
            </w:pPr>
          </w:p>
        </w:tc>
        <w:tc>
          <w:tcPr>
            <w:tcW w:w="5479" w:type="dxa"/>
            <w:shd w:val="clear" w:color="auto" w:fill="FFFFFF" w:themeFill="background1"/>
          </w:tcPr>
          <w:p w14:paraId="1661675D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left"/>
              <w:textAlignment w:val="auto"/>
              <w:rPr>
                <w:rFonts w:hint="eastAsia" w:ascii="宋体" w:hAnsi="宋体" w:eastAsia="宋体" w:cs="宋体"/>
                <w:color w:val="auto"/>
                <w:sz w:val="24"/>
                <w:szCs w:val="24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2"/>
                <w:sz w:val="24"/>
                <w:szCs w:val="24"/>
                <w:lang w:val="en-US" w:eastAsia="zh-CN" w:bidi="ar-SA"/>
              </w:rPr>
              <w:t>二、</w:t>
            </w:r>
            <w:r>
              <w:rPr>
                <w:rFonts w:hint="eastAsia" w:ascii="宋体" w:hAnsi="宋体" w:eastAsia="宋体" w:cs="宋体"/>
                <w:color w:val="auto"/>
                <w:sz w:val="24"/>
                <w:szCs w:val="24"/>
                <w:lang w:val="en-US" w:eastAsia="zh-CN"/>
              </w:rPr>
              <w:t>任务准备</w:t>
            </w:r>
          </w:p>
          <w:p w14:paraId="74CDB3FD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left"/>
              <w:textAlignment w:val="auto"/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1.实训设备</w:t>
            </w:r>
          </w:p>
          <w:p w14:paraId="65E0C21C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left"/>
              <w:textAlignment w:val="auto"/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半自动售票机系统、现金若干、车票若干、相关清单和登记表。</w:t>
            </w:r>
          </w:p>
          <w:p w14:paraId="3F7112D8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left"/>
              <w:textAlignment w:val="auto"/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2.组织安排</w:t>
            </w:r>
          </w:p>
          <w:p w14:paraId="658CA6AD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left"/>
              <w:textAlignment w:val="auto"/>
              <w:rPr>
                <w:rFonts w:hint="eastAsia" w:ascii="宋体" w:hAnsi="宋体" w:eastAsia="宋体" w:cs="宋体"/>
                <w:color w:val="auto"/>
                <w:sz w:val="24"/>
                <w:szCs w:val="24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以小组为单位，在半自动售票机上进行开机，发售单程票、发售往返票，发售储值票，办理乘客退卡退款事务等操作，并填写相应报表，要求在指定时间完成。</w:t>
            </w:r>
          </w:p>
        </w:tc>
        <w:tc>
          <w:tcPr>
            <w:tcW w:w="1521" w:type="dxa"/>
            <w:shd w:val="clear" w:color="auto" w:fill="FFFFFF" w:themeFill="background1"/>
            <w:vAlign w:val="center"/>
          </w:tcPr>
          <w:p w14:paraId="2CC93CB9"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textAlignment w:val="auto"/>
              <w:rPr>
                <w:rFonts w:hint="default" w:ascii="Times New Roman" w:hAnsi="Times New Roman"/>
                <w:sz w:val="24"/>
                <w:szCs w:val="24"/>
                <w:lang w:val="en-US"/>
              </w:rPr>
            </w:pPr>
            <w:r>
              <w:rPr>
                <w:rFonts w:hint="eastAsia" w:ascii="Times New Roman" w:hAnsi="Times New Roman"/>
                <w:color w:val="auto"/>
                <w:sz w:val="24"/>
                <w:szCs w:val="24"/>
                <w:lang w:val="en-US" w:eastAsia="zh-CN"/>
              </w:rPr>
              <w:t>教师进行实训设备的分发，对学生进行分组，学生做好实训准备</w:t>
            </w:r>
          </w:p>
        </w:tc>
        <w:tc>
          <w:tcPr>
            <w:tcW w:w="1522" w:type="dxa"/>
            <w:shd w:val="clear" w:color="auto" w:fill="FFFFFF" w:themeFill="background1"/>
            <w:vAlign w:val="center"/>
          </w:tcPr>
          <w:p w14:paraId="710A3821"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textAlignment w:val="auto"/>
              <w:rPr>
                <w:rFonts w:hint="default" w:ascii="Times New Roman" w:hAnsi="Times New Roman" w:eastAsia="宋体"/>
                <w:color w:val="auto"/>
                <w:sz w:val="24"/>
                <w:szCs w:val="24"/>
                <w:lang w:val="en-US" w:eastAsia="zh-CN"/>
              </w:rPr>
            </w:pPr>
            <w:r>
              <w:rPr>
                <w:rFonts w:hint="eastAsia" w:ascii="Times New Roman" w:hAnsi="Times New Roman"/>
                <w:color w:val="auto"/>
                <w:sz w:val="24"/>
                <w:szCs w:val="24"/>
                <w:lang w:val="en-US" w:eastAsia="zh-CN"/>
              </w:rPr>
              <w:t>为实训任务实施做好准备</w:t>
            </w:r>
          </w:p>
        </w:tc>
      </w:tr>
      <w:tr w14:paraId="1EAE56B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509" w:type="dxa"/>
            <w:vMerge w:val="continue"/>
            <w:shd w:val="clear" w:color="auto" w:fill="FFFFFF" w:themeFill="background1"/>
          </w:tcPr>
          <w:p w14:paraId="069A5D1B">
            <w:pPr>
              <w:rPr>
                <w:color w:val="auto"/>
              </w:rPr>
            </w:pPr>
          </w:p>
        </w:tc>
        <w:tc>
          <w:tcPr>
            <w:tcW w:w="5479" w:type="dxa"/>
            <w:shd w:val="clear" w:color="auto" w:fill="FFFFFF" w:themeFill="background1"/>
          </w:tcPr>
          <w:p w14:paraId="4A0F00E6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left"/>
              <w:textAlignment w:val="auto"/>
              <w:rPr>
                <w:rFonts w:hint="eastAsia" w:ascii="宋体" w:hAnsi="宋体" w:eastAsia="宋体" w:cs="宋体"/>
                <w:color w:val="auto"/>
                <w:sz w:val="24"/>
                <w:szCs w:val="24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2"/>
                <w:sz w:val="24"/>
                <w:szCs w:val="24"/>
                <w:lang w:val="en-US" w:eastAsia="zh-CN" w:bidi="ar-SA"/>
              </w:rPr>
              <w:t>三、</w:t>
            </w:r>
            <w:r>
              <w:rPr>
                <w:rFonts w:hint="eastAsia" w:ascii="宋体" w:hAnsi="宋体" w:eastAsia="宋体" w:cs="宋体"/>
                <w:color w:val="auto"/>
                <w:sz w:val="24"/>
                <w:szCs w:val="24"/>
                <w:lang w:val="en-US" w:eastAsia="zh-CN"/>
              </w:rPr>
              <w:t>任务实施</w:t>
            </w:r>
          </w:p>
          <w:p w14:paraId="04445053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left"/>
              <w:textAlignment w:val="auto"/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1.开启、初始化并登录BOM系统</w:t>
            </w:r>
          </w:p>
          <w:p w14:paraId="633E0018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left"/>
              <w:textAlignment w:val="auto"/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（1）开启BOM系统。</w:t>
            </w:r>
          </w:p>
          <w:p w14:paraId="76F366DC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left"/>
              <w:textAlignment w:val="auto"/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开启BOM机电源开关，进入Windows系统启动界面，系统启动后自动运行BOM系统程序。</w:t>
            </w:r>
          </w:p>
          <w:p w14:paraId="35435D4A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left"/>
              <w:textAlignment w:val="auto"/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（2）初始化BOM系统。</w:t>
            </w:r>
          </w:p>
          <w:p w14:paraId="340F5B9A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left"/>
              <w:textAlignment w:val="auto"/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①BOM系统启动时操作员屏幕显示初始化系统界面如图7-1所示。乘客屏幕显示暂停服务界面。</w:t>
            </w:r>
          </w:p>
          <w:p w14:paraId="6E82E91F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left"/>
              <w:textAlignment w:val="auto"/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  <w:drawing>
                <wp:inline distT="0" distB="0" distL="114300" distR="114300">
                  <wp:extent cx="3335020" cy="2272030"/>
                  <wp:effectExtent l="0" t="0" r="17780" b="13970"/>
                  <wp:docPr id="34" name="图片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4" name="图片 5"/>
                          <pic:cNvPicPr>
                            <a:picLocks noChangeAspect="1"/>
                          </pic:cNvPicPr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35020" cy="22720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84C4775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left"/>
              <w:textAlignment w:val="auto"/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②启动通讯库，加载运营参数，检测并初始化桌面读写器，检测并初始化发售单元读写器，检测并初始化打印机及发售单元。</w:t>
            </w:r>
          </w:p>
          <w:p w14:paraId="48FAC53C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left"/>
              <w:textAlignment w:val="auto"/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③检测结果成功，在对应的项目后显示成功。</w:t>
            </w:r>
          </w:p>
          <w:p w14:paraId="57CB909B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left"/>
              <w:textAlignment w:val="auto"/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④检测结果失败，在对应的项目后显示失败。</w:t>
            </w:r>
          </w:p>
          <w:p w14:paraId="3D06F91A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left"/>
              <w:textAlignment w:val="auto"/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（3）登录BOM系统。</w:t>
            </w:r>
          </w:p>
          <w:p w14:paraId="141DCFA7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left"/>
              <w:textAlignment w:val="auto"/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系统初始化成功后进入登录界面，输入操作ID和密码，并单击“登录”按钮。</w:t>
            </w:r>
          </w:p>
        </w:tc>
        <w:tc>
          <w:tcPr>
            <w:tcW w:w="1521" w:type="dxa"/>
            <w:shd w:val="clear" w:color="auto" w:fill="FFFFFF" w:themeFill="background1"/>
            <w:vAlign w:val="center"/>
          </w:tcPr>
          <w:p w14:paraId="25A3DF1A"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textAlignment w:val="auto"/>
              <w:rPr>
                <w:rFonts w:hint="default" w:ascii="Times New Roman" w:hAnsi="Times New Roman" w:eastAsia="宋体"/>
                <w:sz w:val="24"/>
                <w:szCs w:val="24"/>
                <w:lang w:val="en-US" w:eastAsia="zh-CN"/>
              </w:rPr>
            </w:pPr>
            <w:r>
              <w:rPr>
                <w:rFonts w:hint="eastAsia" w:ascii="Times New Roman" w:hAnsi="Times New Roman"/>
                <w:sz w:val="24"/>
                <w:szCs w:val="24"/>
                <w:lang w:val="en-US" w:eastAsia="zh-CN"/>
              </w:rPr>
              <w:t>教师讲解，学生进行实施操作</w:t>
            </w:r>
          </w:p>
        </w:tc>
        <w:tc>
          <w:tcPr>
            <w:tcW w:w="1522" w:type="dxa"/>
            <w:shd w:val="clear" w:color="auto" w:fill="FFFFFF" w:themeFill="background1"/>
            <w:vAlign w:val="center"/>
          </w:tcPr>
          <w:p w14:paraId="1E29F73F"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textAlignment w:val="auto"/>
              <w:rPr>
                <w:rFonts w:hint="default" w:ascii="Times New Roman" w:hAnsi="Times New Roman" w:eastAsia="宋体"/>
                <w:color w:val="auto"/>
                <w:sz w:val="24"/>
                <w:szCs w:val="24"/>
                <w:lang w:val="en-US" w:eastAsia="zh-CN"/>
              </w:rPr>
            </w:pPr>
            <w:r>
              <w:rPr>
                <w:rFonts w:hint="eastAsia" w:ascii="Times New Roman" w:hAnsi="Times New Roman"/>
                <w:color w:val="auto"/>
                <w:sz w:val="24"/>
                <w:szCs w:val="24"/>
                <w:lang w:val="en-US" w:eastAsia="zh-CN"/>
              </w:rPr>
              <w:t>帮助学生掌握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开启、初始化并登录BOM系统的操作</w:t>
            </w:r>
          </w:p>
        </w:tc>
      </w:tr>
      <w:tr w14:paraId="306BC7F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509" w:type="dxa"/>
            <w:vMerge w:val="continue"/>
            <w:shd w:val="clear" w:color="auto" w:fill="FFFFFF" w:themeFill="background1"/>
          </w:tcPr>
          <w:p w14:paraId="286C4CB3">
            <w:pPr>
              <w:rPr>
                <w:color w:val="auto"/>
              </w:rPr>
            </w:pPr>
          </w:p>
        </w:tc>
        <w:tc>
          <w:tcPr>
            <w:tcW w:w="5479" w:type="dxa"/>
            <w:shd w:val="clear" w:color="auto" w:fill="FFFFFF" w:themeFill="background1"/>
          </w:tcPr>
          <w:p w14:paraId="1D4FC649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left"/>
              <w:textAlignment w:val="auto"/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2.售票</w:t>
            </w:r>
          </w:p>
          <w:p w14:paraId="005BB617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left"/>
              <w:textAlignment w:val="auto"/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在售票界面，对参数允许进行售票业务操作各种票卡售票，乘客界面显示欢迎光临界面。</w:t>
            </w:r>
          </w:p>
          <w:p w14:paraId="622E5DB5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left"/>
              <w:textAlignment w:val="auto"/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（1）单程票。</w:t>
            </w:r>
          </w:p>
          <w:p w14:paraId="07868DEE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left"/>
              <w:textAlignment w:val="auto"/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①单击“售票”→“单程票”，进入单程票售票界面，如图7-3所示。在单程票售票界面，可以发售以当前站为起始站、以任意站为终点站的单程票。</w:t>
            </w:r>
          </w:p>
          <w:p w14:paraId="22ADA6C1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left"/>
              <w:textAlignment w:val="auto"/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  <w:drawing>
                <wp:inline distT="0" distB="0" distL="114300" distR="114300">
                  <wp:extent cx="3338830" cy="1896110"/>
                  <wp:effectExtent l="0" t="0" r="13970" b="8890"/>
                  <wp:docPr id="35" name="图片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5" name="图片 6"/>
                          <pic:cNvPicPr>
                            <a:picLocks noChangeAspect="1"/>
                          </pic:cNvPicPr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38830" cy="18961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DF1068E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left"/>
              <w:textAlignment w:val="auto"/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②如当前站位东港，发售东港到会议中心的一张单程票，收款2元。</w:t>
            </w:r>
          </w:p>
          <w:p w14:paraId="5B00352D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left"/>
              <w:textAlignment w:val="auto"/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③选择出站信息：在线路选择区选择“2号线”，在车站选择区选择“会议中心”，或者在左侧目的车站直接输入站点拼音缩写。</w:t>
            </w:r>
          </w:p>
          <w:p w14:paraId="07A03493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left"/>
              <w:textAlignment w:val="auto"/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④票价信息：在选择出站信息后，票价自动显示在票价文本框内，或在票价选择区选择票价信息。</w:t>
            </w:r>
          </w:p>
          <w:p w14:paraId="0F68159A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left"/>
              <w:textAlignment w:val="auto"/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⑤设置张数信息：选择张数文本框，在数量选择区选择张数，或者在左侧数量栏直接输入数量。</w:t>
            </w:r>
          </w:p>
          <w:p w14:paraId="059B701C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left"/>
              <w:textAlignment w:val="auto"/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⑥设置收款信息：默认为应收金额，也可手动输入更改，但不可少于应收金额。</w:t>
            </w:r>
          </w:p>
          <w:p w14:paraId="1E691B16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left"/>
              <w:textAlignment w:val="auto"/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⑦单击“发售”按钮。</w:t>
            </w:r>
          </w:p>
          <w:p w14:paraId="29A9A5C9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left"/>
              <w:textAlignment w:val="auto"/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⑧发售的单程票在发售单元机口发出。</w:t>
            </w:r>
          </w:p>
        </w:tc>
        <w:tc>
          <w:tcPr>
            <w:tcW w:w="1521" w:type="dxa"/>
            <w:shd w:val="clear" w:color="auto" w:fill="FFFFFF" w:themeFill="background1"/>
            <w:vAlign w:val="center"/>
          </w:tcPr>
          <w:p w14:paraId="794326F0"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textAlignment w:val="auto"/>
              <w:rPr>
                <w:rFonts w:hint="default" w:ascii="Times New Roman" w:hAnsi="Times New Roman" w:eastAsia="宋体" w:cs="Times New Roman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Times New Roman" w:hAnsi="Times New Roman"/>
                <w:sz w:val="24"/>
                <w:szCs w:val="24"/>
                <w:lang w:val="en-US" w:eastAsia="zh-CN"/>
              </w:rPr>
              <w:t>展示图片，学生进行系统操作</w:t>
            </w:r>
          </w:p>
        </w:tc>
        <w:tc>
          <w:tcPr>
            <w:tcW w:w="1522" w:type="dxa"/>
            <w:shd w:val="clear" w:color="auto" w:fill="FFFFFF" w:themeFill="background1"/>
            <w:vAlign w:val="center"/>
          </w:tcPr>
          <w:p w14:paraId="73AE32A0"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textAlignment w:val="auto"/>
              <w:rPr>
                <w:rFonts w:hint="eastAsia" w:ascii="Times New Roman" w:hAnsi="Times New Roman" w:eastAsia="宋体" w:cs="Times New Roman"/>
                <w:color w:val="auto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Times New Roman" w:hAnsi="Times New Roman"/>
                <w:color w:val="auto"/>
                <w:sz w:val="24"/>
                <w:szCs w:val="24"/>
                <w:lang w:val="en-US" w:eastAsia="zh-CN"/>
              </w:rPr>
              <w:t>帮助学生掌握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单程票</w:t>
            </w:r>
            <w:r>
              <w:rPr>
                <w:rFonts w:hint="eastAsia" w:ascii="宋体" w:hAnsi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售票的操作</w:t>
            </w:r>
          </w:p>
        </w:tc>
      </w:tr>
      <w:tr w14:paraId="793D8BB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509" w:type="dxa"/>
            <w:vMerge w:val="continue"/>
            <w:shd w:val="clear" w:color="auto" w:fill="FFFFFF" w:themeFill="background1"/>
          </w:tcPr>
          <w:p w14:paraId="3543CD94">
            <w:pPr>
              <w:rPr>
                <w:color w:val="auto"/>
              </w:rPr>
            </w:pPr>
          </w:p>
        </w:tc>
        <w:tc>
          <w:tcPr>
            <w:tcW w:w="5479" w:type="dxa"/>
            <w:shd w:val="clear" w:color="auto" w:fill="FFFFFF" w:themeFill="background1"/>
          </w:tcPr>
          <w:p w14:paraId="18808590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left"/>
              <w:textAlignment w:val="auto"/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（2）往返票。</w:t>
            </w:r>
          </w:p>
          <w:p w14:paraId="38454394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left"/>
              <w:textAlignment w:val="auto"/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①单击“售票”→“往返票”，进入往返票售票界面，如图7-4所示。在往返票售票界面，可以发售以当前站为起始站、以任意站为终点站的往返票。</w:t>
            </w:r>
          </w:p>
          <w:p w14:paraId="1AD4626F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left"/>
              <w:textAlignment w:val="auto"/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  <w:drawing>
                <wp:inline distT="0" distB="0" distL="114300" distR="114300">
                  <wp:extent cx="3332480" cy="1902460"/>
                  <wp:effectExtent l="0" t="0" r="1270" b="2540"/>
                  <wp:docPr id="36" name="图片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6" name="图片 7"/>
                          <pic:cNvPicPr>
                            <a:picLocks noChangeAspect="1"/>
                          </pic:cNvPicPr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32480" cy="19024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6C3D550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left"/>
              <w:textAlignment w:val="auto"/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②选择目的站信息：在线路选择区选择“2号线”，在车站选择区选择“会议中心”，或者在左侧目的车站直接输入站点拼音缩写。</w:t>
            </w:r>
          </w:p>
          <w:p w14:paraId="4E0DB6CE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left"/>
              <w:textAlignment w:val="auto"/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③票价信息：在选择目的站信息后，票价自动显示在票价文本框内。</w:t>
            </w:r>
          </w:p>
          <w:p w14:paraId="7D62CB63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left"/>
              <w:textAlignment w:val="auto"/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④设置张数信息：选择张数文本框，在数量选择区选择张数，或者在左侧数量栏直接输入数量。</w:t>
            </w:r>
          </w:p>
          <w:p w14:paraId="4292CDC6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left"/>
              <w:textAlignment w:val="auto"/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⑤设置收款信息：默认为应收金额，也可手动输入更改，但不可少于应收金额。</w:t>
            </w:r>
          </w:p>
          <w:p w14:paraId="03A99FF5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left"/>
              <w:textAlignment w:val="auto"/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⑥单击“发售”按钮。</w:t>
            </w:r>
          </w:p>
          <w:p w14:paraId="12EA0B15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left"/>
              <w:textAlignment w:val="auto"/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⑦发售的单程票在发售单元机口发出。</w:t>
            </w:r>
          </w:p>
        </w:tc>
        <w:tc>
          <w:tcPr>
            <w:tcW w:w="1521" w:type="dxa"/>
            <w:shd w:val="clear" w:color="auto" w:fill="FFFFFF" w:themeFill="background1"/>
            <w:vAlign w:val="center"/>
          </w:tcPr>
          <w:p w14:paraId="42FED86E"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textAlignment w:val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hint="eastAsia" w:ascii="Times New Roman" w:hAnsi="Times New Roman"/>
                <w:sz w:val="24"/>
                <w:szCs w:val="24"/>
                <w:lang w:val="en-US" w:eastAsia="zh-CN"/>
              </w:rPr>
              <w:t>展示图片，学生进行系统操作</w:t>
            </w:r>
          </w:p>
        </w:tc>
        <w:tc>
          <w:tcPr>
            <w:tcW w:w="1522" w:type="dxa"/>
            <w:shd w:val="clear" w:color="auto" w:fill="FFFFFF" w:themeFill="background1"/>
            <w:vAlign w:val="center"/>
          </w:tcPr>
          <w:p w14:paraId="6EFA9C59"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textAlignment w:val="auto"/>
              <w:rPr>
                <w:rFonts w:hint="eastAsia" w:ascii="Times New Roman" w:hAnsi="Times New Roman"/>
                <w:color w:val="auto"/>
                <w:sz w:val="24"/>
                <w:szCs w:val="24"/>
              </w:rPr>
            </w:pPr>
            <w:r>
              <w:rPr>
                <w:rFonts w:hint="eastAsia" w:ascii="Times New Roman" w:hAnsi="Times New Roman"/>
                <w:color w:val="auto"/>
                <w:sz w:val="24"/>
                <w:szCs w:val="24"/>
                <w:lang w:val="en-US" w:eastAsia="zh-CN"/>
              </w:rPr>
              <w:t>帮助学生掌握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往返票</w:t>
            </w:r>
            <w:r>
              <w:rPr>
                <w:rFonts w:hint="eastAsia" w:ascii="宋体" w:hAnsi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售票的操作</w:t>
            </w:r>
          </w:p>
        </w:tc>
      </w:tr>
      <w:tr w14:paraId="1A558B4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509" w:type="dxa"/>
            <w:vMerge w:val="continue"/>
            <w:shd w:val="clear" w:color="auto" w:fill="FFFFFF" w:themeFill="background1"/>
          </w:tcPr>
          <w:p w14:paraId="15BC1908">
            <w:pPr>
              <w:rPr>
                <w:color w:val="auto"/>
              </w:rPr>
            </w:pPr>
          </w:p>
        </w:tc>
        <w:tc>
          <w:tcPr>
            <w:tcW w:w="5479" w:type="dxa"/>
            <w:shd w:val="clear" w:color="auto" w:fill="FFFFFF" w:themeFill="background1"/>
          </w:tcPr>
          <w:p w14:paraId="09C67AD1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left"/>
              <w:textAlignment w:val="auto"/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（3）储值票。</w:t>
            </w:r>
          </w:p>
          <w:p w14:paraId="4961BD51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left"/>
              <w:textAlignment w:val="auto"/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①单击“售票”→“储值票”，进入储值票售票界面。在储值票售票界面，发售参数允许进行售票业务操作的各种储值类票卡进行发售。</w:t>
            </w:r>
          </w:p>
          <w:p w14:paraId="3E7DF801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left"/>
              <w:textAlignment w:val="auto"/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②如发售一张押金为30元、充值金额为50元的地铁普通储值票。</w:t>
            </w:r>
          </w:p>
          <w:p w14:paraId="6321DEF2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left"/>
              <w:textAlignment w:val="auto"/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③将一张地铁普通储值票放置在桌面读写器上。</w:t>
            </w:r>
          </w:p>
          <w:p w14:paraId="16B21027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left"/>
              <w:textAlignment w:val="auto"/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④单击“寻卡”按钮，若票卡可发售，则界面票卡类型、押金自动显示，如图7-5所示。</w:t>
            </w:r>
          </w:p>
          <w:p w14:paraId="6E872611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left"/>
              <w:textAlignment w:val="auto"/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  <w:drawing>
                <wp:inline distT="0" distB="0" distL="114300" distR="114300">
                  <wp:extent cx="3332480" cy="1912620"/>
                  <wp:effectExtent l="0" t="0" r="1270" b="11430"/>
                  <wp:docPr id="37" name="图片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7" name="图片 8"/>
                          <pic:cNvPicPr>
                            <a:picLocks noChangeAspect="1"/>
                          </pic:cNvPicPr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32480" cy="19126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B31E89B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left"/>
              <w:textAlignment w:val="auto"/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⑤输入充值金额。</w:t>
            </w:r>
          </w:p>
          <w:p w14:paraId="1F59C4DD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left"/>
              <w:textAlignment w:val="auto"/>
              <w:rPr>
                <w:rFonts w:hint="eastAsia" w:ascii="宋体" w:hAnsi="宋体" w:eastAsia="宋体" w:cs="宋体"/>
                <w:color w:val="auto"/>
                <w:sz w:val="24"/>
                <w:szCs w:val="24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⑥单击“发售”按钮，弹出发售提示框。</w:t>
            </w:r>
          </w:p>
        </w:tc>
        <w:tc>
          <w:tcPr>
            <w:tcW w:w="1521" w:type="dxa"/>
            <w:shd w:val="clear" w:color="auto" w:fill="FFFFFF" w:themeFill="background1"/>
            <w:vAlign w:val="center"/>
          </w:tcPr>
          <w:p w14:paraId="6433F616"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textAlignment w:val="auto"/>
              <w:rPr>
                <w:rFonts w:hint="default" w:ascii="Times New Roman" w:hAnsi="Times New Roman" w:eastAsia="宋体" w:cs="Times New Roman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Times New Roman" w:hAnsi="Times New Roman"/>
                <w:sz w:val="24"/>
                <w:szCs w:val="24"/>
                <w:lang w:val="en-US" w:eastAsia="zh-CN"/>
              </w:rPr>
              <w:t>展示图片，学生进行系统操作</w:t>
            </w:r>
          </w:p>
        </w:tc>
        <w:tc>
          <w:tcPr>
            <w:tcW w:w="1522" w:type="dxa"/>
            <w:shd w:val="clear" w:color="auto" w:fill="FFFFFF" w:themeFill="background1"/>
            <w:vAlign w:val="center"/>
          </w:tcPr>
          <w:p w14:paraId="351D9EA2"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textAlignment w:val="auto"/>
              <w:rPr>
                <w:rFonts w:hint="eastAsia" w:ascii="Times New Roman" w:hAnsi="Times New Roman" w:eastAsia="宋体" w:cs="Times New Roman"/>
                <w:color w:val="auto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Times New Roman" w:hAnsi="Times New Roman"/>
                <w:color w:val="auto"/>
                <w:sz w:val="24"/>
                <w:szCs w:val="24"/>
                <w:lang w:val="en-US" w:eastAsia="zh-CN"/>
              </w:rPr>
              <w:t>帮助学生掌握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储值票</w:t>
            </w:r>
            <w:r>
              <w:rPr>
                <w:rFonts w:hint="eastAsia" w:ascii="宋体" w:hAnsi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售票的操作</w:t>
            </w:r>
          </w:p>
        </w:tc>
      </w:tr>
      <w:tr w14:paraId="06C534C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509" w:type="dxa"/>
            <w:vMerge w:val="continue"/>
            <w:shd w:val="clear" w:color="auto" w:fill="FFFFFF" w:themeFill="background1"/>
          </w:tcPr>
          <w:p w14:paraId="7B9A5FA2">
            <w:pPr>
              <w:rPr>
                <w:color w:val="auto"/>
              </w:rPr>
            </w:pPr>
          </w:p>
        </w:tc>
        <w:tc>
          <w:tcPr>
            <w:tcW w:w="5479" w:type="dxa"/>
            <w:shd w:val="clear" w:color="auto" w:fill="FFFFFF" w:themeFill="background1"/>
          </w:tcPr>
          <w:p w14:paraId="497BD661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left"/>
              <w:textAlignment w:val="auto"/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3.退卡退款</w:t>
            </w:r>
          </w:p>
          <w:p w14:paraId="5FE63AC2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left"/>
              <w:textAlignment w:val="auto"/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（1）TVM故障退款。</w:t>
            </w:r>
          </w:p>
          <w:p w14:paraId="5230DA84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left"/>
              <w:textAlignment w:val="auto"/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①单击“退卡退款”→“故障退款”，进入TVM故障退款界面，如图7-6所示。对因TVM故障原因需要退款时，可在该界面进行操作。</w:t>
            </w:r>
          </w:p>
          <w:p w14:paraId="205244E2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left"/>
              <w:textAlignment w:val="auto"/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  <w:drawing>
                <wp:inline distT="0" distB="0" distL="114300" distR="114300">
                  <wp:extent cx="3335020" cy="1666240"/>
                  <wp:effectExtent l="0" t="0" r="17780" b="10160"/>
                  <wp:docPr id="38" name="图片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8" name="图片 9"/>
                          <pic:cNvPicPr>
                            <a:picLocks noChangeAspect="1"/>
                          </pic:cNvPicPr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35020" cy="16662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0956877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left"/>
              <w:textAlignment w:val="auto"/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②正确填写相应信息，单击“故障退款”按钮，完成故障退款。</w:t>
            </w:r>
          </w:p>
        </w:tc>
        <w:tc>
          <w:tcPr>
            <w:tcW w:w="1521" w:type="dxa"/>
            <w:shd w:val="clear" w:color="auto" w:fill="FFFFFF" w:themeFill="background1"/>
            <w:vAlign w:val="center"/>
          </w:tcPr>
          <w:p w14:paraId="69B59714"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textAlignment w:val="auto"/>
              <w:rPr>
                <w:rFonts w:hint="default" w:ascii="Times New Roman" w:hAnsi="Times New Roman" w:eastAsia="宋体" w:cs="Times New Roman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Times New Roman" w:hAnsi="Times New Roman"/>
                <w:sz w:val="24"/>
                <w:szCs w:val="24"/>
                <w:lang w:val="en-US" w:eastAsia="zh-CN"/>
              </w:rPr>
              <w:t>展示图片，学生进行系统操作</w:t>
            </w:r>
          </w:p>
        </w:tc>
        <w:tc>
          <w:tcPr>
            <w:tcW w:w="1522" w:type="dxa"/>
            <w:shd w:val="clear" w:color="auto" w:fill="FFFFFF" w:themeFill="background1"/>
            <w:vAlign w:val="center"/>
          </w:tcPr>
          <w:p w14:paraId="5C96B9BC"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textAlignment w:val="auto"/>
              <w:rPr>
                <w:rFonts w:hint="eastAsia" w:ascii="Times New Roman" w:hAnsi="Times New Roman" w:eastAsia="宋体" w:cs="Times New Roman"/>
                <w:color w:val="auto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Times New Roman" w:hAnsi="Times New Roman"/>
                <w:color w:val="auto"/>
                <w:sz w:val="24"/>
                <w:szCs w:val="24"/>
                <w:lang w:val="en-US" w:eastAsia="zh-CN"/>
              </w:rPr>
              <w:t>帮助学生掌握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TVM故障退款</w:t>
            </w:r>
            <w:r>
              <w:rPr>
                <w:rFonts w:hint="eastAsia" w:ascii="宋体" w:hAnsi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的操作</w:t>
            </w:r>
          </w:p>
        </w:tc>
      </w:tr>
      <w:tr w14:paraId="6B10735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509" w:type="dxa"/>
            <w:vMerge w:val="continue"/>
            <w:shd w:val="clear" w:color="auto" w:fill="FFFFFF" w:themeFill="background1"/>
          </w:tcPr>
          <w:p w14:paraId="3F253DC7">
            <w:pPr>
              <w:rPr>
                <w:color w:val="auto"/>
              </w:rPr>
            </w:pPr>
          </w:p>
        </w:tc>
        <w:tc>
          <w:tcPr>
            <w:tcW w:w="5479" w:type="dxa"/>
            <w:shd w:val="clear" w:color="auto" w:fill="FFFFFF" w:themeFill="background1"/>
          </w:tcPr>
          <w:p w14:paraId="6AAC1507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left"/>
              <w:textAlignment w:val="auto"/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（2）退卡。</w:t>
            </w:r>
          </w:p>
          <w:p w14:paraId="2A950480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left"/>
              <w:textAlignment w:val="auto"/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①单击“退卡退款”→“退卡”，进入退卡界面，如图7-7所示。在该界面可以对参数业务支持的票卡进行退卡操作。</w:t>
            </w:r>
          </w:p>
          <w:p w14:paraId="3EDEFE7A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left"/>
              <w:textAlignment w:val="auto"/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  <w:drawing>
                <wp:inline distT="0" distB="0" distL="114300" distR="114300">
                  <wp:extent cx="3341370" cy="1911350"/>
                  <wp:effectExtent l="0" t="0" r="11430" b="12700"/>
                  <wp:docPr id="39" name="图片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9" name="图片 10"/>
                          <pic:cNvPicPr>
                            <a:picLocks noChangeAspect="1"/>
                          </pic:cNvPicPr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41370" cy="19113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DD211D1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left"/>
              <w:textAlignment w:val="auto"/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②单击“确认”按钮，操作员界面进入操作提示信息界面。</w:t>
            </w:r>
          </w:p>
        </w:tc>
        <w:tc>
          <w:tcPr>
            <w:tcW w:w="1521" w:type="dxa"/>
            <w:shd w:val="clear" w:color="auto" w:fill="FFFFFF" w:themeFill="background1"/>
            <w:vAlign w:val="center"/>
          </w:tcPr>
          <w:p w14:paraId="59995CEB"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textAlignment w:val="auto"/>
              <w:rPr>
                <w:rFonts w:hint="default" w:ascii="Times New Roman" w:hAnsi="Times New Roman" w:eastAsia="宋体" w:cs="Times New Roman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Times New Roman" w:hAnsi="Times New Roman"/>
                <w:sz w:val="24"/>
                <w:szCs w:val="24"/>
                <w:lang w:val="en-US" w:eastAsia="zh-CN"/>
              </w:rPr>
              <w:t>展示图片，学生进行系统操作</w:t>
            </w:r>
          </w:p>
        </w:tc>
        <w:tc>
          <w:tcPr>
            <w:tcW w:w="1522" w:type="dxa"/>
            <w:shd w:val="clear" w:color="auto" w:fill="FFFFFF" w:themeFill="background1"/>
            <w:vAlign w:val="center"/>
          </w:tcPr>
          <w:p w14:paraId="170FE85E"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textAlignment w:val="auto"/>
              <w:rPr>
                <w:rFonts w:hint="eastAsia" w:ascii="Times New Roman" w:hAnsi="Times New Roman" w:eastAsia="宋体" w:cs="Times New Roman"/>
                <w:color w:val="auto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Times New Roman" w:hAnsi="Times New Roman"/>
                <w:color w:val="auto"/>
                <w:sz w:val="24"/>
                <w:szCs w:val="24"/>
                <w:lang w:val="en-US" w:eastAsia="zh-CN"/>
              </w:rPr>
              <w:t>帮助学生掌握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退卡</w:t>
            </w:r>
            <w:r>
              <w:rPr>
                <w:rFonts w:hint="eastAsia" w:ascii="宋体" w:hAnsi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的操作</w:t>
            </w:r>
          </w:p>
        </w:tc>
      </w:tr>
      <w:tr w14:paraId="2573FC5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509" w:type="dxa"/>
            <w:vMerge w:val="continue"/>
            <w:shd w:val="clear" w:color="auto" w:fill="FFFFFF" w:themeFill="background1"/>
          </w:tcPr>
          <w:p w14:paraId="6446E9B1">
            <w:pPr>
              <w:rPr>
                <w:color w:val="auto"/>
              </w:rPr>
            </w:pPr>
          </w:p>
        </w:tc>
        <w:tc>
          <w:tcPr>
            <w:tcW w:w="5479" w:type="dxa"/>
            <w:shd w:val="clear" w:color="auto" w:fill="FFFFFF" w:themeFill="background1"/>
          </w:tcPr>
          <w:p w14:paraId="278F43D6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left"/>
              <w:textAlignment w:val="auto"/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4.关机</w:t>
            </w:r>
          </w:p>
          <w:p w14:paraId="54C5213B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80" w:firstLineChars="200"/>
              <w:jc w:val="left"/>
              <w:textAlignment w:val="auto"/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单击“辅助”→“关机”，单击“关机”按钮。设备关机界面如图7-8所示。</w:t>
            </w:r>
          </w:p>
          <w:p w14:paraId="2E4EEAE5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left"/>
              <w:textAlignment w:val="auto"/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color w:val="auto"/>
                <w:sz w:val="24"/>
                <w:szCs w:val="24"/>
              </w:rPr>
              <w:drawing>
                <wp:inline distT="0" distB="0" distL="114300" distR="114300">
                  <wp:extent cx="3341370" cy="1903095"/>
                  <wp:effectExtent l="0" t="0" r="11430" b="1905"/>
                  <wp:docPr id="40" name="图片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0" name="图片 11"/>
                          <pic:cNvPicPr>
                            <a:picLocks noChangeAspect="1"/>
                          </pic:cNvPicPr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41370" cy="19030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21" w:type="dxa"/>
            <w:shd w:val="clear" w:color="auto" w:fill="FFFFFF" w:themeFill="background1"/>
            <w:vAlign w:val="center"/>
          </w:tcPr>
          <w:p w14:paraId="028658C6"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textAlignment w:val="auto"/>
              <w:rPr>
                <w:rFonts w:hint="default" w:ascii="Times New Roman" w:hAnsi="Times New Roman" w:eastAsia="宋体" w:cs="Times New Roman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Times New Roman" w:hAnsi="Times New Roman"/>
                <w:sz w:val="24"/>
                <w:szCs w:val="24"/>
                <w:lang w:val="en-US" w:eastAsia="zh-CN"/>
              </w:rPr>
              <w:t>展示图片，学生进行系统操作</w:t>
            </w:r>
          </w:p>
        </w:tc>
        <w:tc>
          <w:tcPr>
            <w:tcW w:w="1522" w:type="dxa"/>
            <w:shd w:val="clear" w:color="auto" w:fill="FFFFFF" w:themeFill="background1"/>
            <w:vAlign w:val="center"/>
          </w:tcPr>
          <w:p w14:paraId="540904F9"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textAlignment w:val="auto"/>
              <w:rPr>
                <w:rFonts w:hint="eastAsia" w:ascii="Times New Roman" w:hAnsi="Times New Roman" w:eastAsia="宋体" w:cs="Times New Roman"/>
                <w:color w:val="auto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Times New Roman" w:hAnsi="Times New Roman"/>
                <w:color w:val="auto"/>
                <w:sz w:val="24"/>
                <w:szCs w:val="24"/>
                <w:lang w:val="en-US" w:eastAsia="zh-CN"/>
              </w:rPr>
              <w:t>帮助学生掌握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关机</w:t>
            </w:r>
            <w:r>
              <w:rPr>
                <w:rFonts w:hint="eastAsia" w:ascii="宋体" w:hAnsi="宋体" w:cs="宋体"/>
                <w:color w:val="auto"/>
                <w:kern w:val="0"/>
                <w:sz w:val="24"/>
                <w:szCs w:val="24"/>
                <w:lang w:val="en-US" w:eastAsia="zh-CN" w:bidi="ar"/>
              </w:rPr>
              <w:t>操作</w:t>
            </w:r>
          </w:p>
        </w:tc>
      </w:tr>
      <w:tr w14:paraId="77235AB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509" w:type="dxa"/>
            <w:vMerge w:val="continue"/>
            <w:shd w:val="clear" w:color="auto" w:fill="FFFFFF" w:themeFill="background1"/>
          </w:tcPr>
          <w:p w14:paraId="57463BF5">
            <w:pPr>
              <w:rPr>
                <w:color w:val="auto"/>
              </w:rPr>
            </w:pPr>
          </w:p>
        </w:tc>
        <w:tc>
          <w:tcPr>
            <w:tcW w:w="5479" w:type="dxa"/>
            <w:shd w:val="clear" w:color="auto" w:fill="FFFFFF" w:themeFill="background1"/>
          </w:tcPr>
          <w:p w14:paraId="31CC98EC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left"/>
              <w:textAlignment w:val="auto"/>
              <w:rPr>
                <w:rFonts w:hint="eastAsia" w:ascii="宋体" w:hAnsi="宋体" w:eastAsia="宋体" w:cs="宋体"/>
                <w:color w:val="auto"/>
                <w:sz w:val="24"/>
                <w:szCs w:val="24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2"/>
                <w:sz w:val="24"/>
                <w:szCs w:val="24"/>
                <w:lang w:val="en-US" w:eastAsia="zh-CN" w:bidi="ar-SA"/>
              </w:rPr>
              <w:t>四</w:t>
            </w:r>
            <w:r>
              <w:rPr>
                <w:rFonts w:hint="eastAsia" w:ascii="宋体" w:hAnsi="宋体" w:cs="宋体"/>
                <w:color w:val="auto"/>
                <w:kern w:val="2"/>
                <w:sz w:val="24"/>
                <w:szCs w:val="24"/>
                <w:lang w:val="en-US" w:eastAsia="zh-CN" w:bidi="ar-SA"/>
              </w:rPr>
              <w:t>、</w:t>
            </w:r>
            <w:r>
              <w:rPr>
                <w:rFonts w:hint="eastAsia" w:ascii="宋体" w:hAnsi="宋体" w:eastAsia="宋体" w:cs="宋体"/>
                <w:color w:val="auto"/>
                <w:sz w:val="24"/>
                <w:szCs w:val="24"/>
                <w:lang w:val="en-US" w:eastAsia="zh-CN"/>
              </w:rPr>
              <w:t>任务评价</w:t>
            </w:r>
          </w:p>
          <w:p w14:paraId="5C118A0B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jc w:val="left"/>
              <w:textAlignment w:val="auto"/>
              <w:rPr>
                <w:rFonts w:hint="eastAsia" w:ascii="宋体" w:hAnsi="宋体" w:eastAsia="宋体" w:cs="宋体"/>
                <w:color w:val="auto"/>
                <w:sz w:val="24"/>
                <w:szCs w:val="24"/>
                <w:lang w:val="en-US" w:eastAsia="zh-CN"/>
              </w:rPr>
            </w:pPr>
            <w:r>
              <w:drawing>
                <wp:inline distT="0" distB="0" distL="114300" distR="114300">
                  <wp:extent cx="3338830" cy="2571750"/>
                  <wp:effectExtent l="0" t="0" r="13970" b="0"/>
                  <wp:docPr id="41" name="图片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1" name="图片 12"/>
                          <pic:cNvPicPr>
                            <a:picLocks noChangeAspect="1"/>
                          </pic:cNvPicPr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38830" cy="2571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21" w:type="dxa"/>
            <w:shd w:val="clear" w:color="auto" w:fill="FFFFFF" w:themeFill="background1"/>
            <w:vAlign w:val="center"/>
          </w:tcPr>
          <w:p w14:paraId="363512D8"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textAlignment w:val="auto"/>
              <w:rPr>
                <w:rFonts w:hint="default" w:ascii="Times New Roman" w:hAnsi="Times New Roman" w:eastAsia="宋体"/>
                <w:sz w:val="24"/>
                <w:szCs w:val="24"/>
                <w:lang w:val="en-US" w:eastAsia="zh-CN"/>
              </w:rPr>
            </w:pPr>
            <w:r>
              <w:rPr>
                <w:rFonts w:hint="eastAsia" w:ascii="Times New Roman" w:hAnsi="Times New Roman"/>
                <w:sz w:val="24"/>
                <w:szCs w:val="24"/>
                <w:lang w:val="en-US" w:eastAsia="zh-CN"/>
              </w:rPr>
              <w:t>学生进行自评、互评，教师进行评价</w:t>
            </w:r>
          </w:p>
        </w:tc>
        <w:tc>
          <w:tcPr>
            <w:tcW w:w="1522" w:type="dxa"/>
            <w:shd w:val="clear" w:color="auto" w:fill="FFFFFF" w:themeFill="background1"/>
            <w:vAlign w:val="center"/>
          </w:tcPr>
          <w:p w14:paraId="2B7F3B3A"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textAlignment w:val="auto"/>
              <w:rPr>
                <w:rFonts w:hint="default" w:ascii="Times New Roman" w:hAnsi="Times New Roman" w:eastAsia="宋体"/>
                <w:color w:val="auto"/>
                <w:sz w:val="24"/>
                <w:szCs w:val="24"/>
                <w:lang w:val="en-US" w:eastAsia="zh-CN"/>
              </w:rPr>
            </w:pPr>
            <w:r>
              <w:rPr>
                <w:rFonts w:hint="eastAsia" w:ascii="Times New Roman" w:hAnsi="Times New Roman"/>
                <w:color w:val="auto"/>
                <w:sz w:val="24"/>
                <w:szCs w:val="24"/>
                <w:lang w:val="en-US" w:eastAsia="zh-CN"/>
              </w:rPr>
              <w:t>帮助学生了解学习效果，教师掌握教学情况</w:t>
            </w:r>
          </w:p>
        </w:tc>
      </w:tr>
      <w:tr w14:paraId="4C521F9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509" w:type="dxa"/>
            <w:shd w:val="clear" w:color="auto" w:fill="FFFFFF" w:themeFill="background1"/>
          </w:tcPr>
          <w:p w14:paraId="56F3C0C8">
            <w:pPr>
              <w:rPr>
                <w:rFonts w:hint="eastAsia" w:eastAsia="宋体"/>
                <w:color w:val="auto"/>
                <w:lang w:val="en-US" w:eastAsia="zh-CN"/>
              </w:rPr>
            </w:pPr>
            <w:r>
              <w:rPr>
                <w:rFonts w:hint="eastAsia" w:ascii="宋体" w:cs="宋体"/>
                <w:b/>
                <w:color w:val="auto"/>
                <w:sz w:val="28"/>
                <w:lang w:val="en-US" w:eastAsia="zh-CN"/>
              </w:rPr>
              <w:t>任务提升</w:t>
            </w:r>
          </w:p>
        </w:tc>
        <w:tc>
          <w:tcPr>
            <w:tcW w:w="8522" w:type="dxa"/>
            <w:gridSpan w:val="3"/>
            <w:shd w:val="clear" w:color="000000" w:fill="FFFFFF"/>
            <w:vAlign w:val="center"/>
          </w:tcPr>
          <w:p w14:paraId="522F1EF3">
            <w:pPr>
              <w:spacing w:line="379" w:lineRule="auto"/>
              <w:ind w:right="480"/>
              <w:rPr>
                <w:rFonts w:hint="eastAsia" w:ascii="宋体" w:cs="宋体"/>
                <w:color w:val="auto"/>
                <w:sz w:val="24"/>
                <w:szCs w:val="24"/>
                <w:lang w:val="en-US" w:eastAsia="zh-CN"/>
              </w:rPr>
            </w:pPr>
            <w:r>
              <w:rPr>
                <w:rFonts w:hint="eastAsia" w:ascii="宋体" w:cs="宋体"/>
                <w:color w:val="auto"/>
                <w:sz w:val="24"/>
                <w:szCs w:val="24"/>
                <w:lang w:val="en-US" w:eastAsia="zh-CN"/>
              </w:rPr>
              <w:t>（一）判断题</w:t>
            </w:r>
          </w:p>
          <w:p w14:paraId="7B99EE62">
            <w:pPr>
              <w:spacing w:line="379" w:lineRule="auto"/>
              <w:ind w:right="480"/>
              <w:rPr>
                <w:rFonts w:hint="eastAsia" w:ascii="宋体" w:cs="宋体"/>
                <w:color w:val="auto"/>
                <w:sz w:val="24"/>
                <w:szCs w:val="24"/>
                <w:lang w:val="en-US" w:eastAsia="zh-CN"/>
              </w:rPr>
            </w:pPr>
            <w:r>
              <w:rPr>
                <w:rFonts w:hint="eastAsia" w:ascii="宋体" w:cs="宋体"/>
                <w:color w:val="auto"/>
                <w:sz w:val="24"/>
                <w:szCs w:val="24"/>
                <w:lang w:val="en-US" w:eastAsia="zh-CN"/>
              </w:rPr>
              <w:t>1.一般常见的单个地铁车站也叫自然站，除此之外，还会划分中心站或区域段、区域站，就是由若干个自然站拼成一个中心站或者区域站（或者叫站区）。</w:t>
            </w:r>
          </w:p>
          <w:p w14:paraId="43CB1493">
            <w:pPr>
              <w:spacing w:line="379" w:lineRule="auto"/>
              <w:ind w:right="480"/>
              <w:rPr>
                <w:rFonts w:hint="eastAsia" w:ascii="宋体" w:cs="宋体"/>
                <w:color w:val="auto"/>
                <w:sz w:val="24"/>
                <w:szCs w:val="24"/>
                <w:lang w:val="en-US" w:eastAsia="zh-CN"/>
              </w:rPr>
            </w:pPr>
            <w:r>
              <w:rPr>
                <w:rFonts w:hint="eastAsia" w:ascii="宋体" w:cs="宋体"/>
                <w:color w:val="auto"/>
                <w:sz w:val="24"/>
                <w:szCs w:val="24"/>
                <w:lang w:val="en-US" w:eastAsia="zh-CN"/>
              </w:rPr>
              <w:t>2.中心站站长负责中心站内的整体工作，具体分管中心站人员、物资、三体系、培训及综合事务等工作，通过定期开展车站员工工作状态的检查，制订相应的工作计划，提升中心站整体的工作水平。</w:t>
            </w:r>
          </w:p>
          <w:p w14:paraId="619BAB6C">
            <w:pPr>
              <w:spacing w:line="379" w:lineRule="auto"/>
              <w:ind w:right="480"/>
              <w:rPr>
                <w:rFonts w:hint="eastAsia" w:ascii="宋体" w:cs="宋体"/>
                <w:color w:val="auto"/>
                <w:sz w:val="24"/>
                <w:szCs w:val="24"/>
                <w:lang w:val="en-US" w:eastAsia="zh-CN"/>
              </w:rPr>
            </w:pPr>
            <w:r>
              <w:rPr>
                <w:rFonts w:hint="eastAsia" w:ascii="宋体" w:cs="宋体"/>
                <w:color w:val="auto"/>
                <w:sz w:val="24"/>
                <w:szCs w:val="24"/>
                <w:lang w:val="en-US" w:eastAsia="zh-CN"/>
              </w:rPr>
              <w:t>3.站务员是客运站的常规事务员，属于非专业技术工种。站务员日常工作比较繁杂，如维护秩序、协助反恐与安检、急救、紧急疏散等。</w:t>
            </w:r>
          </w:p>
          <w:p w14:paraId="0D9121D5">
            <w:pPr>
              <w:spacing w:line="379" w:lineRule="auto"/>
              <w:ind w:right="480"/>
              <w:rPr>
                <w:rFonts w:hint="eastAsia" w:ascii="宋体" w:cs="宋体"/>
                <w:color w:val="auto"/>
                <w:sz w:val="24"/>
                <w:szCs w:val="24"/>
                <w:lang w:val="en-US" w:eastAsia="zh-CN"/>
              </w:rPr>
            </w:pPr>
            <w:r>
              <w:rPr>
                <w:rFonts w:hint="eastAsia" w:ascii="宋体" w:cs="宋体"/>
                <w:color w:val="auto"/>
                <w:sz w:val="24"/>
                <w:szCs w:val="24"/>
                <w:lang w:val="en-US" w:eastAsia="zh-CN"/>
              </w:rPr>
              <w:t>4.票务员退回的单程票、乘客退票（含无效票）需经客运值班员与票务员共同点数及检测状态后确认。</w:t>
            </w:r>
          </w:p>
          <w:p w14:paraId="3D62327A">
            <w:pPr>
              <w:spacing w:line="379" w:lineRule="auto"/>
              <w:ind w:right="480"/>
              <w:rPr>
                <w:rFonts w:hint="eastAsia" w:ascii="宋体" w:cs="宋体"/>
                <w:color w:val="auto"/>
                <w:sz w:val="24"/>
                <w:szCs w:val="24"/>
                <w:lang w:val="en-US" w:eastAsia="zh-CN"/>
              </w:rPr>
            </w:pPr>
            <w:r>
              <w:rPr>
                <w:rFonts w:hint="eastAsia" w:ascii="宋体" w:cs="宋体"/>
                <w:color w:val="auto"/>
                <w:sz w:val="24"/>
                <w:szCs w:val="24"/>
                <w:lang w:val="en-US" w:eastAsia="zh-CN"/>
              </w:rPr>
              <w:t>5.晚班票务员需交还客服中心处钥匙、BOM外置读写器、SAM卡等并进行登记。</w:t>
            </w:r>
          </w:p>
          <w:p w14:paraId="111C1D49">
            <w:pPr>
              <w:spacing w:line="379" w:lineRule="auto"/>
              <w:ind w:right="480"/>
              <w:rPr>
                <w:rFonts w:hint="eastAsia" w:ascii="宋体" w:hAnsi="宋体" w:cs="宋体"/>
                <w:color w:val="auto"/>
                <w:sz w:val="24"/>
                <w:szCs w:val="24"/>
              </w:rPr>
            </w:pPr>
            <w:r>
              <w:rPr>
                <w:rFonts w:hint="eastAsia" w:ascii="宋体" w:hAnsi="宋体" w:cs="宋体"/>
                <w:color w:val="auto"/>
                <w:sz w:val="24"/>
                <w:szCs w:val="24"/>
              </w:rPr>
              <w:t>（二）简答题</w:t>
            </w:r>
          </w:p>
          <w:p w14:paraId="68247FB3">
            <w:pPr>
              <w:spacing w:line="379" w:lineRule="auto"/>
              <w:ind w:right="480"/>
              <w:rPr>
                <w:rFonts w:hint="eastAsia" w:ascii="宋体" w:cs="宋体"/>
                <w:color w:val="auto"/>
                <w:sz w:val="24"/>
                <w:szCs w:val="24"/>
                <w:lang w:val="en-US" w:eastAsia="zh-CN"/>
              </w:rPr>
            </w:pPr>
            <w:r>
              <w:rPr>
                <w:rFonts w:hint="eastAsia" w:ascii="宋体" w:cs="宋体"/>
                <w:color w:val="auto"/>
                <w:sz w:val="24"/>
                <w:szCs w:val="24"/>
                <w:lang w:val="en-US" w:eastAsia="zh-CN"/>
              </w:rPr>
              <w:t>1.简述车站票务员的交接班作业标准。</w:t>
            </w:r>
          </w:p>
          <w:p w14:paraId="474C11C2">
            <w:pPr>
              <w:spacing w:line="379" w:lineRule="auto"/>
              <w:ind w:right="480"/>
              <w:rPr>
                <w:rFonts w:ascii="宋体" w:cs="宋体"/>
                <w:color w:val="auto"/>
                <w:sz w:val="24"/>
                <w:szCs w:val="24"/>
              </w:rPr>
            </w:pPr>
            <w:r>
              <w:rPr>
                <w:rFonts w:hint="eastAsia" w:ascii="宋体" w:cs="宋体"/>
                <w:color w:val="auto"/>
                <w:sz w:val="24"/>
                <w:szCs w:val="24"/>
                <w:lang w:val="en-US" w:eastAsia="zh-CN"/>
              </w:rPr>
              <w:t>2.简述车站票务员的结算作业标准。</w:t>
            </w:r>
          </w:p>
        </w:tc>
      </w:tr>
      <w:tr w14:paraId="3B09961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509" w:type="dxa"/>
            <w:shd w:val="clear" w:color="auto" w:fill="FFFFFF" w:themeFill="background1"/>
          </w:tcPr>
          <w:p w14:paraId="05937F3D">
            <w:pPr>
              <w:rPr>
                <w:color w:val="auto"/>
              </w:rPr>
            </w:pPr>
            <w:r>
              <w:rPr>
                <w:rFonts w:hint="eastAsia" w:ascii="宋体" w:cs="宋体"/>
                <w:b/>
                <w:color w:val="auto"/>
                <w:sz w:val="28"/>
              </w:rPr>
              <w:t>板书设计</w:t>
            </w:r>
          </w:p>
        </w:tc>
        <w:tc>
          <w:tcPr>
            <w:tcW w:w="8522" w:type="dxa"/>
            <w:gridSpan w:val="3"/>
            <w:shd w:val="clear" w:color="000000" w:fill="FFFFFF"/>
          </w:tcPr>
          <w:p w14:paraId="675B0C80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textAlignment w:val="auto"/>
              <w:rPr>
                <w:rFonts w:hint="default" w:ascii="Times New Roman" w:hAnsi="Times New Roman"/>
                <w:color w:val="auto"/>
                <w:sz w:val="24"/>
                <w:szCs w:val="24"/>
                <w:lang w:val="en-US" w:eastAsia="zh-CN"/>
              </w:rPr>
            </w:pPr>
            <w:r>
              <w:rPr>
                <w:rFonts w:hint="eastAsia" w:ascii="Times New Roman" w:hAnsi="Times New Roman"/>
                <w:color w:val="auto"/>
                <w:sz w:val="24"/>
                <w:szCs w:val="24"/>
              </w:rPr>
              <w:t>模块</w:t>
            </w:r>
            <w:r>
              <w:rPr>
                <w:rFonts w:hint="eastAsia" w:ascii="Times New Roman" w:hAnsi="Times New Roman"/>
                <w:color w:val="auto"/>
                <w:sz w:val="24"/>
                <w:szCs w:val="24"/>
                <w:lang w:val="en-US" w:eastAsia="zh-CN"/>
              </w:rPr>
              <w:t xml:space="preserve">七  </w:t>
            </w:r>
            <w:r>
              <w:rPr>
                <w:rFonts w:hint="eastAsia" w:ascii="Times New Roman" w:hAnsi="Times New Roman"/>
                <w:color w:val="auto"/>
                <w:sz w:val="24"/>
                <w:szCs w:val="24"/>
              </w:rPr>
              <w:t>课题</w:t>
            </w:r>
            <w:r>
              <w:rPr>
                <w:rFonts w:hint="eastAsia" w:ascii="Times New Roman" w:hAnsi="Times New Roman"/>
                <w:color w:val="auto"/>
                <w:sz w:val="24"/>
                <w:szCs w:val="24"/>
                <w:lang w:val="en-US" w:eastAsia="zh-CN"/>
              </w:rPr>
              <w:t>一  票务员开窗售票作业</w:t>
            </w:r>
          </w:p>
          <w:p w14:paraId="4C7FC134"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textAlignment w:val="auto"/>
              <w:rPr>
                <w:rFonts w:hint="eastAsia" w:ascii="Times New Roman" w:hAnsi="Times New Roman"/>
                <w:color w:val="auto"/>
                <w:sz w:val="24"/>
                <w:szCs w:val="24"/>
                <w:lang w:val="en-US" w:eastAsia="zh-CN"/>
              </w:rPr>
            </w:pPr>
            <w:r>
              <w:rPr>
                <w:rFonts w:hint="eastAsia" w:ascii="Times New Roman" w:hAnsi="Times New Roman" w:eastAsia="宋体" w:cs="Times New Roman"/>
                <w:color w:val="auto"/>
                <w:kern w:val="2"/>
                <w:sz w:val="24"/>
                <w:szCs w:val="24"/>
                <w:lang w:val="en-US" w:eastAsia="zh-CN" w:bidi="ar-SA"/>
              </w:rPr>
              <w:t>（一）</w:t>
            </w:r>
            <w:r>
              <w:rPr>
                <w:rFonts w:hint="eastAsia" w:ascii="Times New Roman" w:hAnsi="Times New Roman"/>
                <w:color w:val="auto"/>
                <w:sz w:val="24"/>
                <w:szCs w:val="24"/>
                <w:lang w:val="en-US" w:eastAsia="zh-CN"/>
              </w:rPr>
              <w:t>站长岗位</w:t>
            </w:r>
          </w:p>
          <w:p w14:paraId="32249328">
            <w:pPr>
              <w:pStyle w:val="5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left="0" w:leftChars="0" w:firstLine="480" w:firstLineChars="200"/>
              <w:textAlignment w:val="auto"/>
              <w:rPr>
                <w:rFonts w:hint="eastAsia" w:ascii="Times New Roman" w:hAnsi="Times New Roman"/>
                <w:color w:val="auto"/>
                <w:sz w:val="24"/>
                <w:szCs w:val="24"/>
                <w:lang w:val="en-US" w:eastAsia="zh-CN"/>
              </w:rPr>
            </w:pPr>
            <w:r>
              <w:rPr>
                <w:rFonts w:hint="eastAsia" w:ascii="Times New Roman" w:hAnsi="Times New Roman"/>
                <w:color w:val="auto"/>
                <w:sz w:val="24"/>
                <w:szCs w:val="24"/>
                <w:lang w:val="en-US" w:eastAsia="zh-CN"/>
              </w:rPr>
              <w:t>1.站长的分类</w:t>
            </w:r>
          </w:p>
          <w:p w14:paraId="72688C13">
            <w:pPr>
              <w:pStyle w:val="5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left="0" w:leftChars="0" w:firstLine="480" w:firstLineChars="200"/>
              <w:textAlignment w:val="auto"/>
              <w:rPr>
                <w:rFonts w:hint="eastAsia" w:ascii="Times New Roman" w:hAnsi="Times New Roman"/>
                <w:color w:val="auto"/>
                <w:sz w:val="24"/>
                <w:szCs w:val="24"/>
                <w:lang w:val="en-US" w:eastAsia="zh-CN"/>
              </w:rPr>
            </w:pPr>
            <w:r>
              <w:rPr>
                <w:rFonts w:hint="eastAsia" w:ascii="Times New Roman" w:hAnsi="Times New Roman"/>
                <w:color w:val="auto"/>
                <w:sz w:val="24"/>
                <w:szCs w:val="24"/>
                <w:lang w:val="en-US" w:eastAsia="zh-CN"/>
              </w:rPr>
              <w:t>2.站长的工作内容</w:t>
            </w:r>
          </w:p>
          <w:p w14:paraId="05890C73">
            <w:pPr>
              <w:pStyle w:val="5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left="0" w:leftChars="0" w:firstLine="480" w:firstLineChars="200"/>
              <w:textAlignment w:val="auto"/>
              <w:rPr>
                <w:rFonts w:hint="eastAsia" w:ascii="Times New Roman" w:hAnsi="Times New Roman"/>
                <w:color w:val="auto"/>
                <w:sz w:val="24"/>
                <w:szCs w:val="24"/>
                <w:lang w:val="en-US" w:eastAsia="zh-CN"/>
              </w:rPr>
            </w:pPr>
            <w:r>
              <w:rPr>
                <w:rFonts w:hint="eastAsia" w:ascii="Times New Roman" w:hAnsi="Times New Roman"/>
                <w:color w:val="auto"/>
                <w:sz w:val="24"/>
                <w:szCs w:val="24"/>
                <w:lang w:val="en-US" w:eastAsia="zh-CN"/>
              </w:rPr>
              <w:t>（1）中心站站长</w:t>
            </w:r>
          </w:p>
          <w:p w14:paraId="2CA72F8C">
            <w:pPr>
              <w:pStyle w:val="5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left="0" w:leftChars="0" w:firstLine="480" w:firstLineChars="200"/>
              <w:textAlignment w:val="auto"/>
              <w:rPr>
                <w:rFonts w:hint="default" w:ascii="Times New Roman" w:hAnsi="Times New Roman"/>
                <w:color w:val="auto"/>
                <w:sz w:val="24"/>
                <w:szCs w:val="24"/>
                <w:lang w:val="en-US" w:eastAsia="zh-CN"/>
              </w:rPr>
            </w:pPr>
            <w:r>
              <w:rPr>
                <w:rFonts w:hint="eastAsia" w:ascii="Times New Roman" w:hAnsi="Times New Roman"/>
                <w:color w:val="auto"/>
                <w:sz w:val="24"/>
                <w:szCs w:val="24"/>
                <w:lang w:val="en-US" w:eastAsia="zh-CN"/>
              </w:rPr>
              <w:t>（2）值班站长</w:t>
            </w:r>
          </w:p>
          <w:p w14:paraId="57BAE069">
            <w:pPr>
              <w:pStyle w:val="5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left="0" w:leftChars="0" w:firstLine="0" w:firstLineChars="0"/>
              <w:textAlignment w:val="auto"/>
              <w:rPr>
                <w:rFonts w:hint="eastAsia" w:ascii="Times New Roman" w:hAnsi="Times New Roman"/>
                <w:color w:val="auto"/>
                <w:sz w:val="24"/>
                <w:szCs w:val="24"/>
                <w:lang w:val="en-US" w:eastAsia="zh-CN"/>
              </w:rPr>
            </w:pPr>
            <w:r>
              <w:rPr>
                <w:rFonts w:hint="eastAsia" w:ascii="Times New Roman" w:hAnsi="Times New Roman"/>
                <w:color w:val="auto"/>
                <w:sz w:val="24"/>
                <w:szCs w:val="24"/>
                <w:lang w:val="en-US" w:eastAsia="zh-CN"/>
              </w:rPr>
              <w:t>（二）站务员岗位</w:t>
            </w:r>
          </w:p>
          <w:p w14:paraId="2968E879">
            <w:pPr>
              <w:pStyle w:val="5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left="0" w:leftChars="0" w:firstLine="480" w:firstLineChars="200"/>
              <w:textAlignment w:val="auto"/>
              <w:rPr>
                <w:rFonts w:hint="eastAsia" w:ascii="Times New Roman" w:hAnsi="Times New Roman"/>
                <w:color w:val="auto"/>
                <w:sz w:val="24"/>
                <w:szCs w:val="24"/>
                <w:lang w:val="en-US" w:eastAsia="zh-CN"/>
              </w:rPr>
            </w:pPr>
            <w:r>
              <w:rPr>
                <w:rFonts w:hint="eastAsia" w:ascii="Times New Roman" w:hAnsi="Times New Roman"/>
                <w:color w:val="auto"/>
                <w:sz w:val="24"/>
                <w:szCs w:val="24"/>
                <w:lang w:val="en-US" w:eastAsia="zh-CN"/>
              </w:rPr>
              <w:t>1.站务员岗位简介</w:t>
            </w:r>
          </w:p>
          <w:p w14:paraId="63136DC3">
            <w:pPr>
              <w:pStyle w:val="5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left="0" w:leftChars="0" w:firstLine="480" w:firstLineChars="200"/>
              <w:textAlignment w:val="auto"/>
              <w:rPr>
                <w:rFonts w:hint="eastAsia" w:ascii="Times New Roman" w:hAnsi="Times New Roman"/>
                <w:color w:val="auto"/>
                <w:sz w:val="24"/>
                <w:szCs w:val="24"/>
                <w:lang w:val="en-US" w:eastAsia="zh-CN"/>
              </w:rPr>
            </w:pPr>
            <w:r>
              <w:rPr>
                <w:rFonts w:hint="eastAsia" w:ascii="Times New Roman" w:hAnsi="Times New Roman"/>
                <w:color w:val="auto"/>
                <w:sz w:val="24"/>
                <w:szCs w:val="24"/>
                <w:lang w:val="en-US" w:eastAsia="zh-CN"/>
              </w:rPr>
              <w:t>2.站务员岗位职责</w:t>
            </w:r>
          </w:p>
          <w:p w14:paraId="41BD22AB">
            <w:pPr>
              <w:pStyle w:val="5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left="0" w:leftChars="0" w:firstLine="0" w:firstLineChars="0"/>
              <w:textAlignment w:val="auto"/>
              <w:rPr>
                <w:rFonts w:hint="eastAsia" w:ascii="Times New Roman" w:hAnsi="Times New Roman"/>
                <w:color w:val="auto"/>
                <w:sz w:val="24"/>
                <w:szCs w:val="24"/>
                <w:lang w:val="en-US" w:eastAsia="zh-CN"/>
              </w:rPr>
            </w:pPr>
            <w:r>
              <w:rPr>
                <w:rFonts w:hint="eastAsia" w:ascii="Times New Roman" w:hAnsi="Times New Roman"/>
                <w:color w:val="auto"/>
                <w:sz w:val="24"/>
                <w:szCs w:val="24"/>
                <w:lang w:val="en-US" w:eastAsia="zh-CN"/>
              </w:rPr>
              <w:t>（三）票务员岗位</w:t>
            </w:r>
          </w:p>
          <w:p w14:paraId="6E3EEBC3">
            <w:pPr>
              <w:pStyle w:val="5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left="0" w:leftChars="0" w:firstLine="480" w:firstLineChars="200"/>
              <w:textAlignment w:val="auto"/>
              <w:rPr>
                <w:rFonts w:hint="eastAsia" w:ascii="Times New Roman" w:hAnsi="Times New Roman"/>
                <w:color w:val="auto"/>
                <w:sz w:val="24"/>
                <w:szCs w:val="24"/>
                <w:lang w:val="en-US" w:eastAsia="zh-CN"/>
              </w:rPr>
            </w:pPr>
            <w:r>
              <w:rPr>
                <w:rFonts w:hint="eastAsia" w:ascii="Times New Roman" w:hAnsi="Times New Roman"/>
                <w:color w:val="auto"/>
                <w:sz w:val="24"/>
                <w:szCs w:val="24"/>
                <w:lang w:val="en-US" w:eastAsia="zh-CN"/>
              </w:rPr>
              <w:t>1.售票前准备工作</w:t>
            </w:r>
          </w:p>
          <w:p w14:paraId="143B7201">
            <w:pPr>
              <w:pStyle w:val="5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left="0" w:leftChars="0" w:firstLine="480" w:firstLineChars="200"/>
              <w:textAlignment w:val="auto"/>
              <w:rPr>
                <w:rFonts w:hint="eastAsia" w:ascii="Times New Roman" w:hAnsi="Times New Roman"/>
                <w:color w:val="auto"/>
                <w:sz w:val="24"/>
                <w:szCs w:val="24"/>
                <w:lang w:val="en-US" w:eastAsia="zh-CN"/>
              </w:rPr>
            </w:pPr>
            <w:r>
              <w:rPr>
                <w:rFonts w:hint="eastAsia" w:ascii="Times New Roman" w:hAnsi="Times New Roman"/>
                <w:color w:val="auto"/>
                <w:sz w:val="24"/>
                <w:szCs w:val="24"/>
                <w:lang w:val="en-US" w:eastAsia="zh-CN"/>
              </w:rPr>
              <w:t>2.售票作业</w:t>
            </w:r>
          </w:p>
          <w:p w14:paraId="17F91655">
            <w:pPr>
              <w:pStyle w:val="5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left="0" w:leftChars="0" w:firstLine="480" w:firstLineChars="200"/>
              <w:textAlignment w:val="auto"/>
              <w:rPr>
                <w:rFonts w:hint="eastAsia" w:ascii="Times New Roman" w:hAnsi="Times New Roman"/>
                <w:color w:val="auto"/>
                <w:sz w:val="24"/>
                <w:szCs w:val="24"/>
                <w:lang w:val="en-US" w:eastAsia="zh-CN"/>
              </w:rPr>
            </w:pPr>
            <w:r>
              <w:rPr>
                <w:rFonts w:hint="eastAsia" w:ascii="Times New Roman" w:hAnsi="Times New Roman"/>
                <w:color w:val="auto"/>
                <w:sz w:val="24"/>
                <w:szCs w:val="24"/>
                <w:lang w:val="en-US" w:eastAsia="zh-CN"/>
              </w:rPr>
              <w:t>3.交接班作业</w:t>
            </w:r>
          </w:p>
          <w:p w14:paraId="11EB8795">
            <w:pPr>
              <w:pStyle w:val="5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left="0" w:leftChars="0" w:firstLine="480" w:firstLineChars="200"/>
              <w:textAlignment w:val="auto"/>
              <w:rPr>
                <w:rFonts w:hint="default" w:cs="Calibri"/>
                <w:color w:val="auto"/>
                <w:sz w:val="24"/>
                <w:lang w:val="en-US" w:eastAsia="zh-CN"/>
              </w:rPr>
            </w:pPr>
            <w:r>
              <w:rPr>
                <w:rFonts w:hint="eastAsia" w:ascii="Times New Roman" w:hAnsi="Times New Roman"/>
                <w:color w:val="auto"/>
                <w:sz w:val="24"/>
                <w:szCs w:val="24"/>
                <w:lang w:val="en-US" w:eastAsia="zh-CN"/>
              </w:rPr>
              <w:t>4.结算作业</w:t>
            </w:r>
          </w:p>
        </w:tc>
      </w:tr>
      <w:tr w14:paraId="1D6B33D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509" w:type="dxa"/>
            <w:shd w:val="clear" w:color="auto" w:fill="FFFFFF" w:themeFill="background1"/>
          </w:tcPr>
          <w:p w14:paraId="79CF90F2">
            <w:pPr>
              <w:rPr>
                <w:color w:val="auto"/>
              </w:rPr>
            </w:pPr>
            <w:r>
              <w:rPr>
                <w:rFonts w:ascii="宋体" w:cs="宋体"/>
                <w:b/>
                <w:color w:val="auto"/>
                <w:sz w:val="28"/>
              </w:rPr>
              <w:t>教学反思</w:t>
            </w:r>
            <w:r>
              <w:rPr>
                <w:rFonts w:hint="eastAsia" w:ascii="宋体" w:cs="宋体"/>
                <w:b/>
                <w:color w:val="auto"/>
                <w:sz w:val="28"/>
              </w:rPr>
              <w:t>（</w:t>
            </w:r>
            <w:r>
              <w:rPr>
                <w:rFonts w:hint="eastAsia" w:ascii="宋体" w:cs="宋体"/>
                <w:b/>
                <w:color w:val="FF0000"/>
                <w:sz w:val="28"/>
              </w:rPr>
              <w:t>手写</w:t>
            </w:r>
            <w:r>
              <w:rPr>
                <w:rFonts w:hint="eastAsia" w:ascii="宋体" w:cs="宋体"/>
                <w:b/>
                <w:color w:val="auto"/>
                <w:sz w:val="28"/>
              </w:rPr>
              <w:t>）</w:t>
            </w:r>
          </w:p>
        </w:tc>
        <w:tc>
          <w:tcPr>
            <w:tcW w:w="8522" w:type="dxa"/>
            <w:gridSpan w:val="3"/>
            <w:shd w:val="clear" w:color="auto" w:fill="FFFFFF" w:themeFill="background1"/>
          </w:tcPr>
          <w:p w14:paraId="2AF894A4">
            <w:pPr>
              <w:rPr>
                <w:color w:val="auto"/>
              </w:rPr>
            </w:pPr>
          </w:p>
        </w:tc>
      </w:tr>
    </w:tbl>
    <w:p w14:paraId="01F3A544"/>
    <w:sectPr>
      <w:pgSz w:w="11906" w:h="16838"/>
      <w:pgMar w:top="1440" w:right="1080" w:bottom="1440" w:left="108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楷体"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方正楷体_GBK">
    <w:altName w:val="微软雅黑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方正黑体_GBK">
    <w:panose1 w:val="03000509000000000000"/>
    <w:charset w:val="86"/>
    <w:family w:val="auto"/>
    <w:pitch w:val="default"/>
    <w:sig w:usb0="00000001" w:usb1="080E0000" w:usb2="00000000" w:usb3="00000000" w:csb0="00040000" w:csb1="00000000"/>
  </w:font>
  <w:font w:name="方正书宋_GBK">
    <w:panose1 w:val="03000509000000000000"/>
    <w:charset w:val="86"/>
    <w:family w:val="auto"/>
    <w:pitch w:val="default"/>
    <w:sig w:usb0="00000001" w:usb1="080E0000" w:usb2="00000000" w:usb3="00000000" w:csb0="00040000" w:csb1="00000000"/>
  </w:font>
  <w:font w:name="方正粗宋_GBK">
    <w:altName w:val="宋体"/>
    <w:panose1 w:val="00000000000000000000"/>
    <w:charset w:val="00"/>
    <w:family w:val="auto"/>
    <w:pitch w:val="default"/>
    <w:sig w:usb0="00000000" w:usb1="00000000" w:usb2="00000000" w:usb3="00000000" w:csb0="00000000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1C1B4A85"/>
    <w:rsid w:val="001F78C2"/>
    <w:rsid w:val="00C435AA"/>
    <w:rsid w:val="00F52B12"/>
    <w:rsid w:val="069114AA"/>
    <w:rsid w:val="116F4AAF"/>
    <w:rsid w:val="1875006A"/>
    <w:rsid w:val="1C1B4A85"/>
    <w:rsid w:val="25F40EA7"/>
    <w:rsid w:val="2935110A"/>
    <w:rsid w:val="308A799E"/>
    <w:rsid w:val="33396D97"/>
    <w:rsid w:val="34F47329"/>
    <w:rsid w:val="3F0D2A93"/>
    <w:rsid w:val="49E06568"/>
    <w:rsid w:val="4AF53986"/>
    <w:rsid w:val="5F972637"/>
    <w:rsid w:val="693C6DF1"/>
    <w:rsid w:val="718408CB"/>
    <w:rsid w:val="752D680B"/>
    <w:rsid w:val="7C5F249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nhideWhenUsed="0" w:uiPriority="0" w:semiHidden="0" w:name="Balloon Text"/>
    <w:lsdException w:qFormat="1" w:unhideWhenUsed="0" w:uiPriority="0" w:semiHidden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character" w:default="1" w:styleId="4">
    <w:name w:val="Default Paragraph Font"/>
    <w:semiHidden/>
    <w:unhideWhenUsed/>
    <w:qFormat/>
    <w:uiPriority w:val="1"/>
  </w:style>
  <w:style w:type="table" w:default="1" w:styleId="2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table" w:styleId="3">
    <w:name w:val="Table Grid"/>
    <w:basedOn w:val="2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paragraph" w:styleId="5">
    <w:name w:val="List Paragraph"/>
    <w:basedOn w:val="1"/>
    <w:qFormat/>
    <w:uiPriority w:val="34"/>
    <w:pPr>
      <w:ind w:firstLine="420" w:firstLineChars="200"/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16</Pages>
  <Words>4855</Words>
  <Characters>4963</Characters>
  <Lines>66</Lines>
  <Paragraphs>18</Paragraphs>
  <TotalTime>4</TotalTime>
  <ScaleCrop>false</ScaleCrop>
  <LinksUpToDate>false</LinksUpToDate>
  <CharactersWithSpaces>4967</CharactersWithSpaces>
  <Application>WPS Office_12.1.0.20784_F1E327BC-269C-435d-A152-05C5408002CA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2025-05-07T10:12:00Z</dcterms:created>
  <dc:creator>TREASURE</dc:creator>
  <cp:lastModifiedBy>TREASURE</cp:lastModifiedBy>
  <dcterms:modified xsi:type="dcterms:W3CDTF">2025-05-09T03:34:28Z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2052-12.1.0.20784</vt:lpwstr>
  </property>
  <property fmtid="{D5CDD505-2E9C-101B-9397-08002B2CF9AE}" pid="3" name="ICV">
    <vt:lpwstr>1AEA6CAB00294F59AACD7BAC871CC75F_13</vt:lpwstr>
  </property>
  <property fmtid="{D5CDD505-2E9C-101B-9397-08002B2CF9AE}" pid="4" name="KSOTemplateDocerSaveRecord">
    <vt:lpwstr>eyJoZGlkIjoiMjNjZjU1MDBkNjRkNjMxZTZhZDVjMzc0NWEyZDI1OGUiLCJ1c2VySWQiOiI5MzI1MjI1NzkifQ==</vt:lpwstr>
  </property>
</Properties>
</file>