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F79E15">
      <w:pPr>
        <w:jc w:val="center"/>
        <w:rPr>
          <w:rFonts w:eastAsia="Calibri" w:cs="Calibri"/>
          <w:b/>
          <w:color w:val="FF0000"/>
          <w:sz w:val="28"/>
        </w:rPr>
      </w:pPr>
      <w:r>
        <w:rPr>
          <w:rFonts w:ascii="宋体" w:cs="宋体"/>
          <w:b/>
          <w:sz w:val="36"/>
        </w:rPr>
        <w:t>重庆市两江职业教育中心</w:t>
      </w:r>
      <w:r>
        <w:rPr>
          <w:rFonts w:hint="eastAsia" w:ascii="宋体" w:cs="宋体"/>
          <w:b/>
          <w:sz w:val="36"/>
        </w:rPr>
        <w:t>教学</w:t>
      </w:r>
      <w:r>
        <w:rPr>
          <w:rFonts w:ascii="宋体" w:cs="宋体"/>
          <w:b/>
          <w:sz w:val="36"/>
        </w:rPr>
        <w:t>教案</w:t>
      </w:r>
    </w:p>
    <w:tbl>
      <w:tblPr>
        <w:tblStyle w:val="2"/>
        <w:tblW w:w="10020" w:type="dxa"/>
        <w:tblInd w:w="0" w:type="dxa"/>
        <w:tblLayout w:type="fixed"/>
        <w:tblCellMar>
          <w:top w:w="0" w:type="dxa"/>
          <w:left w:w="10" w:type="dxa"/>
          <w:bottom w:w="0" w:type="dxa"/>
          <w:right w:w="10" w:type="dxa"/>
        </w:tblCellMar>
      </w:tblPr>
      <w:tblGrid>
        <w:gridCol w:w="1520"/>
        <w:gridCol w:w="1967"/>
        <w:gridCol w:w="1050"/>
        <w:gridCol w:w="2452"/>
        <w:gridCol w:w="836"/>
        <w:gridCol w:w="2195"/>
      </w:tblGrid>
      <w:tr w14:paraId="505C3CCE">
        <w:tblPrEx>
          <w:tblCellMar>
            <w:top w:w="0" w:type="dxa"/>
            <w:left w:w="10" w:type="dxa"/>
            <w:bottom w:w="0" w:type="dxa"/>
            <w:right w:w="10" w:type="dxa"/>
          </w:tblCellMar>
        </w:tblPrEx>
        <w:trPr>
          <w:trHeight w:val="927"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B7840D3">
            <w:pPr>
              <w:jc w:val="center"/>
              <w:rPr>
                <w:b/>
              </w:rPr>
            </w:pPr>
            <w:r>
              <w:rPr>
                <w:rFonts w:ascii="宋体" w:cs="宋体"/>
                <w:b/>
                <w:sz w:val="28"/>
              </w:rPr>
              <w:t>课题</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F5BDD81">
            <w:pPr>
              <w:jc w:val="center"/>
            </w:pPr>
            <w:r>
              <w:rPr>
                <w:rFonts w:hint="eastAsia" w:ascii="Times New Roman" w:hAnsi="Times New Roman"/>
                <w:sz w:val="24"/>
                <w:szCs w:val="24"/>
              </w:rPr>
              <w:t>城市轨道交通票卡媒介</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24D8BA3">
            <w:pPr>
              <w:jc w:val="center"/>
              <w:rPr>
                <w:b/>
              </w:rPr>
            </w:pPr>
            <w:r>
              <w:rPr>
                <w:rFonts w:ascii="宋体" w:cs="宋体"/>
                <w:b/>
                <w:sz w:val="28"/>
              </w:rPr>
              <w:t>班级</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3F2A3A9"/>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E7D741E">
            <w:pPr>
              <w:jc w:val="center"/>
              <w:rPr>
                <w:b/>
              </w:rPr>
            </w:pPr>
            <w:r>
              <w:rPr>
                <w:rFonts w:ascii="宋体" w:cs="宋体"/>
                <w:b/>
                <w:sz w:val="28"/>
              </w:rPr>
              <w:t>教师</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3DDC880D">
            <w:pPr>
              <w:jc w:val="center"/>
              <w:rPr>
                <w:rFonts w:ascii="宋体" w:cs="宋体"/>
              </w:rPr>
            </w:pPr>
          </w:p>
        </w:tc>
      </w:tr>
      <w:tr w14:paraId="5951CA2D">
        <w:tblPrEx>
          <w:tblCellMar>
            <w:top w:w="0" w:type="dxa"/>
            <w:left w:w="10" w:type="dxa"/>
            <w:bottom w:w="0" w:type="dxa"/>
            <w:right w:w="10" w:type="dxa"/>
          </w:tblCellMar>
        </w:tblPrEx>
        <w:trPr>
          <w:trHeight w:val="136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D957BC1">
            <w:pPr>
              <w:jc w:val="center"/>
              <w:rPr>
                <w:b/>
              </w:rPr>
            </w:pPr>
            <w:r>
              <w:rPr>
                <w:rFonts w:ascii="宋体" w:cs="宋体"/>
                <w:b/>
                <w:sz w:val="28"/>
              </w:rPr>
              <w:t>课型</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AB9A1E8">
            <w:pPr>
              <w:jc w:val="center"/>
            </w:pPr>
            <w:r>
              <w:rPr>
                <w:rFonts w:ascii="Times New Roman" w:hAnsi="Times New Roman"/>
                <w:sz w:val="24"/>
                <w:szCs w:val="24"/>
              </w:rPr>
              <w:t>新授课</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E8538CA">
            <w:pPr>
              <w:jc w:val="center"/>
              <w:rPr>
                <w:b/>
              </w:rPr>
            </w:pPr>
            <w:r>
              <w:rPr>
                <w:rFonts w:ascii="宋体" w:cs="宋体"/>
                <w:b/>
                <w:sz w:val="28"/>
              </w:rPr>
              <w:t>课时</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BDD5A53">
            <w:pPr>
              <w:jc w:val="left"/>
              <w:rPr>
                <w:rFonts w:ascii="Times New Roman" w:hAnsi="Times New Roman"/>
                <w:sz w:val="24"/>
                <w:szCs w:val="24"/>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周</w:t>
            </w:r>
          </w:p>
          <w:p w14:paraId="11C99913">
            <w:pPr>
              <w:jc w:val="left"/>
              <w:rPr>
                <w:rFonts w:ascii="宋体" w:cs="宋体"/>
                <w:sz w:val="28"/>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课时</w:t>
            </w:r>
          </w:p>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F9D80DE">
            <w:pPr>
              <w:jc w:val="center"/>
              <w:rPr>
                <w:rFonts w:ascii="宋体" w:cs="宋体"/>
                <w:b/>
                <w:sz w:val="28"/>
              </w:rPr>
            </w:pPr>
            <w:r>
              <w:rPr>
                <w:rFonts w:hint="eastAsia" w:ascii="宋体" w:cs="宋体"/>
                <w:b/>
                <w:sz w:val="28"/>
              </w:rPr>
              <w:t>上课</w:t>
            </w:r>
          </w:p>
          <w:p w14:paraId="2F64384E">
            <w:pPr>
              <w:jc w:val="center"/>
              <w:rPr>
                <w:b/>
              </w:rPr>
            </w:pPr>
            <w:r>
              <w:rPr>
                <w:rFonts w:ascii="宋体" w:cs="宋体"/>
                <w:b/>
                <w:sz w:val="28"/>
              </w:rPr>
              <w:t>时间</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415AF40F">
            <w:pPr>
              <w:jc w:val="center"/>
              <w:rPr>
                <w:b/>
                <w:sz w:val="28"/>
                <w:szCs w:val="28"/>
              </w:rPr>
            </w:pPr>
          </w:p>
        </w:tc>
      </w:tr>
      <w:tr w14:paraId="23EBA0EC">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31C5FB50">
            <w:pPr>
              <w:jc w:val="center"/>
              <w:rPr>
                <w:rFonts w:ascii="宋体" w:cs="宋体"/>
                <w:b/>
                <w:sz w:val="28"/>
              </w:rPr>
            </w:pPr>
            <w:r>
              <w:rPr>
                <w:rFonts w:hint="eastAsia" w:ascii="宋体" w:cs="宋体"/>
                <w:b/>
                <w:sz w:val="28"/>
              </w:rPr>
              <w:t>学情分析</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346F32C">
            <w:pPr>
              <w:spacing w:line="360" w:lineRule="auto"/>
              <w:jc w:val="left"/>
              <w:rPr>
                <w:rFonts w:ascii="宋体"/>
              </w:rPr>
            </w:pPr>
            <w:r>
              <w:rPr>
                <w:rFonts w:hint="eastAsia" w:ascii="Times New Roman" w:hAnsi="Times New Roman"/>
                <w:sz w:val="24"/>
                <w:szCs w:val="24"/>
              </w:rPr>
              <w:t>学生已具备相关理论基础，但在城市轨道交通车票知识的实际应用认知上较为缺乏，虽日常乘坐地铁对车票有直观感受，却不了解背后复杂的票卡演变与分类知识。他们思维活跃，对智能IC卡等新技术兴趣浓厚，能通过自主查阅资料和小组讨论学习不同车票类型特点、构成等知识。然而，在系统整合各类车票按媒介、使用性质分类的知识体系存在不足。</w:t>
            </w:r>
          </w:p>
        </w:tc>
      </w:tr>
      <w:tr w14:paraId="5496B940">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21895195">
            <w:pPr>
              <w:jc w:val="center"/>
              <w:rPr>
                <w:rFonts w:ascii="宋体" w:cs="宋体"/>
                <w:b/>
                <w:sz w:val="28"/>
              </w:rPr>
            </w:pPr>
            <w:r>
              <w:rPr>
                <w:rFonts w:hint="eastAsia" w:ascii="宋体" w:cs="宋体"/>
                <w:b/>
                <w:sz w:val="28"/>
              </w:rPr>
              <w:t>课程思政</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2EA576A">
            <w:pPr>
              <w:spacing w:line="360" w:lineRule="auto"/>
              <w:jc w:val="left"/>
              <w:rPr>
                <w:rFonts w:hint="eastAsia" w:ascii="Times New Roman" w:hAnsi="Times New Roman"/>
                <w:sz w:val="24"/>
                <w:szCs w:val="24"/>
              </w:rPr>
            </w:pPr>
            <w:r>
              <w:rPr>
                <w:rFonts w:hint="eastAsia" w:ascii="Times New Roman" w:hAnsi="Times New Roman"/>
                <w:sz w:val="24"/>
                <w:szCs w:val="24"/>
                <w:lang w:val="en-US" w:eastAsia="zh-CN"/>
              </w:rPr>
              <w:t>1.通过对不同票卡媒介相关知识的学习，培养逻辑思维能力，如分析票卡媒介与票</w:t>
            </w:r>
            <w:r>
              <w:rPr>
                <w:rFonts w:hint="default" w:ascii="Times New Roman" w:hAnsi="Times New Roman"/>
                <w:sz w:val="24"/>
                <w:szCs w:val="24"/>
                <w:lang w:val="en-US" w:eastAsia="zh-CN"/>
              </w:rPr>
              <w:t>务系统其他部分的逻辑关系。</w:t>
            </w:r>
          </w:p>
          <w:p w14:paraId="5EE30A3F">
            <w:pPr>
              <w:spacing w:line="360" w:lineRule="auto"/>
              <w:jc w:val="left"/>
              <w:rPr>
                <w:rFonts w:ascii="Times New Roman" w:hAnsi="Times New Roman"/>
                <w:sz w:val="24"/>
                <w:szCs w:val="24"/>
              </w:rPr>
            </w:pPr>
            <w:r>
              <w:rPr>
                <w:rFonts w:hint="default" w:ascii="Times New Roman" w:hAnsi="Times New Roman"/>
                <w:sz w:val="24"/>
                <w:szCs w:val="24"/>
                <w:lang w:val="en-US" w:eastAsia="zh-CN"/>
              </w:rPr>
              <w:t>2.认识到一些票卡媒介所蕴含的地域文化元素，理解文化在票卡设计中的体现。</w:t>
            </w:r>
          </w:p>
        </w:tc>
      </w:tr>
      <w:tr w14:paraId="53A13ED7">
        <w:tblPrEx>
          <w:tblCellMar>
            <w:top w:w="0" w:type="dxa"/>
            <w:left w:w="10" w:type="dxa"/>
            <w:bottom w:w="0" w:type="dxa"/>
            <w:right w:w="10" w:type="dxa"/>
          </w:tblCellMar>
        </w:tblPrEx>
        <w:trPr>
          <w:trHeight w:val="1376"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54DA531">
            <w:pPr>
              <w:jc w:val="center"/>
              <w:rPr>
                <w:rFonts w:ascii="宋体"/>
                <w:b/>
              </w:rPr>
            </w:pPr>
            <w:r>
              <w:rPr>
                <w:rFonts w:ascii="宋体" w:cs="宋体"/>
                <w:b/>
                <w:sz w:val="28"/>
              </w:rPr>
              <w:t>教学目标</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5432B53E">
            <w:pPr>
              <w:spacing w:line="360" w:lineRule="auto"/>
              <w:jc w:val="left"/>
              <w:rPr>
                <w:rFonts w:hint="eastAsia" w:ascii="Times New Roman" w:hAnsi="Times New Roman"/>
                <w:sz w:val="24"/>
                <w:szCs w:val="24"/>
              </w:rPr>
            </w:pPr>
            <w:r>
              <w:rPr>
                <w:rFonts w:hint="eastAsia" w:ascii="Times New Roman" w:hAnsi="Times New Roman"/>
                <w:sz w:val="24"/>
                <w:szCs w:val="24"/>
              </w:rPr>
              <w:t>知识目标：</w:t>
            </w:r>
          </w:p>
          <w:p w14:paraId="60012E67">
            <w:pPr>
              <w:spacing w:line="360" w:lineRule="auto"/>
              <w:jc w:val="left"/>
              <w:rPr>
                <w:rFonts w:hint="eastAsia" w:ascii="Times New Roman" w:hAnsi="Times New Roman"/>
                <w:sz w:val="24"/>
                <w:szCs w:val="24"/>
              </w:rPr>
            </w:pPr>
            <w:r>
              <w:rPr>
                <w:rFonts w:hint="eastAsia" w:ascii="Times New Roman" w:hAnsi="Times New Roman"/>
                <w:sz w:val="24"/>
                <w:szCs w:val="24"/>
                <w:lang w:val="en-US" w:eastAsia="zh-CN"/>
              </w:rPr>
              <w:t>1.了解城市轨道交通票卡分类。</w:t>
            </w:r>
          </w:p>
          <w:p w14:paraId="1DB7CEE6">
            <w:pPr>
              <w:spacing w:line="360" w:lineRule="auto"/>
              <w:jc w:val="left"/>
              <w:rPr>
                <w:rFonts w:hint="default" w:ascii="Times New Roman" w:hAnsi="Times New Roman"/>
                <w:sz w:val="24"/>
                <w:szCs w:val="24"/>
                <w:lang w:val="en-US"/>
              </w:rPr>
            </w:pPr>
            <w:r>
              <w:rPr>
                <w:rFonts w:hint="default" w:ascii="Times New Roman" w:hAnsi="Times New Roman"/>
                <w:sz w:val="24"/>
                <w:szCs w:val="24"/>
                <w:lang w:val="en-US" w:eastAsia="zh-CN"/>
              </w:rPr>
              <w:t>2.理解不同票卡的应用区别</w:t>
            </w:r>
            <w:r>
              <w:rPr>
                <w:rFonts w:hint="eastAsia" w:ascii="Times New Roman" w:hAnsi="Times New Roman"/>
                <w:sz w:val="24"/>
                <w:szCs w:val="24"/>
                <w:lang w:val="en-US" w:eastAsia="zh-CN"/>
              </w:rPr>
              <w:t>。</w:t>
            </w:r>
          </w:p>
          <w:p w14:paraId="1A89CF0A">
            <w:pPr>
              <w:spacing w:line="360" w:lineRule="auto"/>
              <w:jc w:val="left"/>
              <w:rPr>
                <w:rFonts w:hint="eastAsia" w:ascii="Times New Roman" w:hAnsi="Times New Roman"/>
                <w:sz w:val="24"/>
                <w:szCs w:val="24"/>
              </w:rPr>
            </w:pPr>
            <w:r>
              <w:rPr>
                <w:rFonts w:hint="eastAsia" w:ascii="Times New Roman" w:hAnsi="Times New Roman"/>
                <w:sz w:val="24"/>
                <w:szCs w:val="24"/>
              </w:rPr>
              <w:t>能力目标：</w:t>
            </w:r>
          </w:p>
          <w:p w14:paraId="5C09BA95">
            <w:pPr>
              <w:spacing w:line="360" w:lineRule="auto"/>
              <w:jc w:val="left"/>
              <w:rPr>
                <w:rFonts w:hint="eastAsia" w:ascii="Times New Roman" w:hAnsi="Times New Roman"/>
                <w:sz w:val="24"/>
                <w:szCs w:val="24"/>
              </w:rPr>
            </w:pPr>
            <w:r>
              <w:rPr>
                <w:rFonts w:hint="eastAsia" w:ascii="Times New Roman" w:hAnsi="Times New Roman"/>
                <w:sz w:val="24"/>
                <w:szCs w:val="24"/>
                <w:lang w:val="en-US" w:eastAsia="zh-CN"/>
              </w:rPr>
              <w:t>1.能够快速区分不同交通票卡。</w:t>
            </w:r>
          </w:p>
          <w:p w14:paraId="0D772CF5">
            <w:pPr>
              <w:spacing w:line="360" w:lineRule="auto"/>
              <w:jc w:val="left"/>
              <w:rPr>
                <w:rFonts w:hint="eastAsia" w:ascii="宋体" w:hAnsi="宋体" w:cs="楷体"/>
                <w:sz w:val="24"/>
              </w:rPr>
            </w:pPr>
            <w:r>
              <w:rPr>
                <w:rFonts w:hint="eastAsia" w:ascii="Times New Roman" w:hAnsi="Times New Roman"/>
                <w:sz w:val="24"/>
                <w:szCs w:val="24"/>
                <w:lang w:val="en-US" w:eastAsia="zh-CN"/>
              </w:rPr>
              <w:t>2.掌握交通票卡的分类方式。</w:t>
            </w:r>
          </w:p>
        </w:tc>
      </w:tr>
      <w:tr w14:paraId="483EBB59">
        <w:tblPrEx>
          <w:tblCellMar>
            <w:top w:w="0" w:type="dxa"/>
            <w:left w:w="10" w:type="dxa"/>
            <w:bottom w:w="0" w:type="dxa"/>
            <w:right w:w="10" w:type="dxa"/>
          </w:tblCellMar>
        </w:tblPrEx>
        <w:trPr>
          <w:trHeight w:val="398"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BF4A295">
            <w:pPr>
              <w:jc w:val="center"/>
              <w:rPr>
                <w:rFonts w:ascii="宋体" w:cs="宋体"/>
                <w:b/>
                <w:sz w:val="28"/>
              </w:rPr>
            </w:pPr>
            <w:r>
              <w:rPr>
                <w:rFonts w:ascii="宋体" w:cs="宋体"/>
                <w:b/>
                <w:sz w:val="28"/>
              </w:rPr>
              <w:t>教学</w:t>
            </w:r>
            <w:r>
              <w:rPr>
                <w:rFonts w:hint="eastAsia" w:ascii="宋体" w:cs="宋体"/>
                <w:b/>
                <w:sz w:val="28"/>
              </w:rPr>
              <w:t>重</w:t>
            </w:r>
          </w:p>
          <w:p w14:paraId="230E2C9C">
            <w:pPr>
              <w:jc w:val="center"/>
              <w:rPr>
                <w:rFonts w:ascii="宋体" w:cs="宋体"/>
                <w:b/>
                <w:sz w:val="28"/>
              </w:rPr>
            </w:pPr>
            <w:r>
              <w:rPr>
                <w:rFonts w:hint="eastAsia" w:ascii="宋体" w:cs="宋体"/>
                <w:b/>
                <w:sz w:val="28"/>
              </w:rPr>
              <w:t>难点</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1D22786">
            <w:pPr>
              <w:spacing w:line="360" w:lineRule="auto"/>
              <w:rPr>
                <w:rFonts w:ascii="Times New Roman" w:hAnsi="Times New Roman"/>
                <w:bCs/>
                <w:sz w:val="24"/>
                <w:szCs w:val="24"/>
              </w:rPr>
            </w:pPr>
            <w:r>
              <w:rPr>
                <w:rFonts w:hint="eastAsia" w:ascii="Times New Roman" w:hAnsi="Times New Roman"/>
                <w:bCs/>
                <w:sz w:val="24"/>
                <w:szCs w:val="24"/>
              </w:rPr>
              <w:t>1.票卡媒介的种类与特点。</w:t>
            </w:r>
          </w:p>
          <w:p w14:paraId="79DA56BE">
            <w:pPr>
              <w:spacing w:line="360" w:lineRule="auto"/>
              <w:rPr>
                <w:rFonts w:hint="eastAsia" w:ascii="微软雅黑" w:hAnsi="微软雅黑" w:eastAsia="微软雅黑"/>
                <w:sz w:val="24"/>
              </w:rPr>
            </w:pPr>
            <w:r>
              <w:rPr>
                <w:rFonts w:hint="eastAsia" w:ascii="Times New Roman" w:hAnsi="Times New Roman"/>
                <w:bCs/>
                <w:sz w:val="24"/>
                <w:szCs w:val="24"/>
              </w:rPr>
              <w:t>2.</w:t>
            </w:r>
            <w:r>
              <w:rPr>
                <w:rFonts w:hint="eastAsia" w:ascii="Times New Roman" w:hAnsi="Times New Roman"/>
                <w:bCs/>
                <w:sz w:val="24"/>
                <w:szCs w:val="24"/>
                <w:lang w:eastAsia="zh-CN"/>
              </w:rPr>
              <w:t>理解并区分不同票卡媒介的工作原理及适用场景</w:t>
            </w:r>
            <w:r>
              <w:rPr>
                <w:rFonts w:hint="eastAsia" w:ascii="Times New Roman" w:hAnsi="Times New Roman"/>
                <w:bCs/>
                <w:sz w:val="24"/>
                <w:szCs w:val="24"/>
              </w:rPr>
              <w:t>。</w:t>
            </w:r>
          </w:p>
        </w:tc>
      </w:tr>
      <w:tr w14:paraId="0D4C2EAB">
        <w:tblPrEx>
          <w:tblCellMar>
            <w:top w:w="0" w:type="dxa"/>
            <w:left w:w="10" w:type="dxa"/>
            <w:bottom w:w="0" w:type="dxa"/>
            <w:right w:w="10" w:type="dxa"/>
          </w:tblCellMar>
        </w:tblPrEx>
        <w:trPr>
          <w:trHeight w:val="432"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9A616C8">
            <w:pPr>
              <w:jc w:val="center"/>
              <w:rPr>
                <w:rFonts w:ascii="宋体" w:cs="宋体"/>
                <w:b/>
              </w:rPr>
            </w:pPr>
            <w:r>
              <w:rPr>
                <w:rFonts w:ascii="宋体" w:cs="宋体"/>
                <w:b/>
                <w:sz w:val="28"/>
              </w:rPr>
              <w:t>教学方法</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3C4BB24">
            <w:r>
              <w:rPr>
                <w:rFonts w:hint="eastAsia" w:ascii="Times New Roman" w:hAnsi="Times New Roman"/>
                <w:bCs/>
                <w:sz w:val="24"/>
                <w:szCs w:val="24"/>
              </w:rPr>
              <w:t>讲授法、互动问答法</w:t>
            </w:r>
          </w:p>
        </w:tc>
      </w:tr>
      <w:tr w14:paraId="1A35DB38">
        <w:tblPrEx>
          <w:tblCellMar>
            <w:top w:w="0" w:type="dxa"/>
            <w:left w:w="10" w:type="dxa"/>
            <w:bottom w:w="0" w:type="dxa"/>
            <w:right w:w="10" w:type="dxa"/>
          </w:tblCellMar>
        </w:tblPrEx>
        <w:trPr>
          <w:trHeight w:val="591"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EA720C0">
            <w:pPr>
              <w:jc w:val="center"/>
              <w:rPr>
                <w:rFonts w:ascii="宋体" w:cs="宋体"/>
                <w:b/>
                <w:sz w:val="28"/>
              </w:rPr>
            </w:pPr>
            <w:r>
              <w:rPr>
                <w:rFonts w:hint="eastAsia" w:ascii="宋体" w:cs="宋体"/>
                <w:b/>
                <w:sz w:val="28"/>
              </w:rPr>
              <w:t>教学媒体</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CA03C4B">
            <w:r>
              <w:rPr>
                <w:rFonts w:ascii="Times New Roman" w:hAnsi="Times New Roman"/>
                <w:sz w:val="24"/>
                <w:szCs w:val="24"/>
              </w:rPr>
              <w:t>多媒体</w:t>
            </w:r>
          </w:p>
        </w:tc>
      </w:tr>
      <w:tr w14:paraId="5353A8A0">
        <w:tblPrEx>
          <w:tblCellMar>
            <w:top w:w="0" w:type="dxa"/>
            <w:left w:w="10" w:type="dxa"/>
            <w:bottom w:w="0" w:type="dxa"/>
            <w:right w:w="10" w:type="dxa"/>
          </w:tblCellMar>
        </w:tblPrEx>
        <w:trPr>
          <w:trHeight w:val="390" w:hRule="atLeast"/>
        </w:trPr>
        <w:tc>
          <w:tcPr>
            <w:tcW w:w="10020" w:type="dxa"/>
            <w:gridSpan w:val="6"/>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F27C23F">
            <w:pPr>
              <w:jc w:val="center"/>
              <w:rPr>
                <w:rFonts w:ascii="宋体" w:cs="宋体"/>
              </w:rPr>
            </w:pPr>
            <w:r>
              <w:rPr>
                <w:rFonts w:ascii="宋体" w:cs="宋体"/>
                <w:b/>
                <w:sz w:val="28"/>
              </w:rPr>
              <w:t>教学过程</w:t>
            </w:r>
          </w:p>
        </w:tc>
      </w:tr>
      <w:tr w14:paraId="0A834541">
        <w:tblPrEx>
          <w:tblCellMar>
            <w:top w:w="0" w:type="dxa"/>
            <w:left w:w="10" w:type="dxa"/>
            <w:bottom w:w="0" w:type="dxa"/>
            <w:right w:w="10" w:type="dxa"/>
          </w:tblCellMar>
        </w:tblPrEx>
        <w:trPr>
          <w:trHeight w:val="254" w:hRule="atLeast"/>
        </w:trPr>
        <w:tc>
          <w:tcPr>
            <w:tcW w:w="1520" w:type="dxa"/>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vAlign w:val="center"/>
          </w:tcPr>
          <w:p w14:paraId="4B78F5BD">
            <w:pPr>
              <w:jc w:val="center"/>
              <w:rPr>
                <w:rFonts w:ascii="宋体" w:cs="宋体"/>
                <w:b/>
                <w:sz w:val="28"/>
              </w:rPr>
            </w:pPr>
            <w:r>
              <w:rPr>
                <w:rFonts w:hint="eastAsia" w:ascii="宋体" w:cs="宋体"/>
                <w:b/>
                <w:sz w:val="28"/>
              </w:rPr>
              <w:t>课前准备</w:t>
            </w:r>
          </w:p>
        </w:tc>
        <w:tc>
          <w:tcPr>
            <w:tcW w:w="8500" w:type="dxa"/>
            <w:gridSpan w:val="5"/>
            <w:tcBorders>
              <w:top w:val="single" w:color="auto" w:sz="4" w:space="0"/>
              <w:left w:val="single" w:color="auto" w:sz="4" w:space="0"/>
              <w:bottom w:val="single" w:color="000000" w:sz="4" w:space="0"/>
              <w:right w:val="single" w:color="000000" w:sz="4" w:space="0"/>
            </w:tcBorders>
            <w:shd w:val="clear" w:color="000000" w:fill="FFFFFF"/>
            <w:vAlign w:val="center"/>
          </w:tcPr>
          <w:p w14:paraId="7A7837E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cs="楷体"/>
                <w:sz w:val="24"/>
              </w:rPr>
            </w:pPr>
            <w:r>
              <w:rPr>
                <w:rFonts w:hint="eastAsia" w:ascii="宋体" w:hAnsi="宋体" w:cs="楷体"/>
                <w:sz w:val="24"/>
              </w:rPr>
              <w:t>1.教师做好教学准备，包括课件、教学视频等，调试多媒体</w:t>
            </w:r>
          </w:p>
          <w:p w14:paraId="7105E731">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ascii="宋体" w:cs="宋体"/>
                <w:b/>
                <w:sz w:val="28"/>
              </w:rPr>
            </w:pPr>
            <w:r>
              <w:rPr>
                <w:rFonts w:hint="eastAsia" w:ascii="宋体" w:hAnsi="宋体" w:cs="楷体"/>
                <w:sz w:val="24"/>
              </w:rPr>
              <w:t>2.告知学生预习本次课</w:t>
            </w:r>
            <w:r>
              <w:rPr>
                <w:rFonts w:ascii="宋体" w:hAnsi="宋体" w:cs="楷体"/>
                <w:sz w:val="24"/>
              </w:rPr>
              <w:t>的相关</w:t>
            </w:r>
            <w:r>
              <w:rPr>
                <w:rFonts w:hint="eastAsia" w:ascii="宋体" w:hAnsi="宋体" w:cs="楷体"/>
                <w:sz w:val="24"/>
              </w:rPr>
              <w:t>内容</w:t>
            </w:r>
          </w:p>
        </w:tc>
      </w:tr>
      <w:tr w14:paraId="4C63475D">
        <w:tblPrEx>
          <w:tblCellMar>
            <w:top w:w="0" w:type="dxa"/>
            <w:left w:w="10" w:type="dxa"/>
            <w:bottom w:w="0" w:type="dxa"/>
            <w:right w:w="10" w:type="dxa"/>
          </w:tblCellMar>
        </w:tblPrEx>
        <w:trPr>
          <w:trHeight w:val="153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9048B3A">
            <w:pPr>
              <w:rPr>
                <w:rFonts w:ascii="宋体" w:cs="宋体"/>
                <w:b/>
                <w:sz w:val="28"/>
              </w:rPr>
            </w:pPr>
            <w:r>
              <w:rPr>
                <w:rFonts w:ascii="宋体" w:cs="宋体"/>
                <w:b/>
                <w:sz w:val="28"/>
              </w:rPr>
              <w:t>教学环节</w:t>
            </w:r>
            <w:r>
              <w:rPr>
                <w:rFonts w:ascii="宋体" w:cs="宋体"/>
                <w:b/>
                <w:sz w:val="22"/>
              </w:rPr>
              <w:t>（时间分配）</w:t>
            </w:r>
          </w:p>
        </w:tc>
        <w:tc>
          <w:tcPr>
            <w:tcW w:w="3017" w:type="dxa"/>
            <w:gridSpan w:val="2"/>
            <w:tcBorders>
              <w:top w:val="single" w:color="auto" w:sz="4" w:space="0"/>
              <w:left w:val="single" w:color="000000" w:sz="4" w:space="0"/>
              <w:bottom w:val="single" w:color="auto" w:sz="4" w:space="0"/>
              <w:right w:val="single" w:color="auto" w:sz="4" w:space="0"/>
            </w:tcBorders>
            <w:shd w:val="clear" w:color="000000" w:fill="FFFFFF"/>
            <w:tcMar>
              <w:left w:w="108" w:type="dxa"/>
              <w:right w:w="108" w:type="dxa"/>
            </w:tcMar>
            <w:vAlign w:val="center"/>
          </w:tcPr>
          <w:p w14:paraId="6E5E2E3F">
            <w:pPr>
              <w:jc w:val="center"/>
              <w:rPr>
                <w:rFonts w:ascii="宋体" w:cs="宋体"/>
                <w:b/>
                <w:sz w:val="28"/>
              </w:rPr>
            </w:pPr>
            <w:r>
              <w:rPr>
                <w:rFonts w:hint="eastAsia" w:ascii="宋体" w:cs="宋体"/>
                <w:b/>
                <w:sz w:val="28"/>
              </w:rPr>
              <w:t>教学内容及要点</w:t>
            </w:r>
          </w:p>
        </w:tc>
        <w:tc>
          <w:tcPr>
            <w:tcW w:w="2452" w:type="dxa"/>
            <w:tcBorders>
              <w:top w:val="single" w:color="auto" w:sz="4" w:space="0"/>
              <w:left w:val="single" w:color="auto" w:sz="4" w:space="0"/>
              <w:bottom w:val="single" w:color="000000" w:sz="4" w:space="0"/>
              <w:right w:val="single" w:color="000000" w:sz="4" w:space="0"/>
            </w:tcBorders>
            <w:shd w:val="clear" w:color="000000" w:fill="FFFFFF"/>
            <w:vAlign w:val="center"/>
          </w:tcPr>
          <w:p w14:paraId="2E212298">
            <w:pPr>
              <w:jc w:val="center"/>
              <w:rPr>
                <w:rFonts w:ascii="宋体" w:cs="宋体"/>
                <w:b/>
                <w:sz w:val="28"/>
              </w:rPr>
            </w:pPr>
            <w:r>
              <w:rPr>
                <w:rFonts w:hint="eastAsia" w:ascii="宋体" w:cs="宋体"/>
                <w:b/>
                <w:sz w:val="28"/>
              </w:rPr>
              <w:t>师生双边活动</w:t>
            </w: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838F6DD">
            <w:pPr>
              <w:rPr>
                <w:rFonts w:ascii="宋体" w:cs="宋体"/>
                <w:b/>
                <w:sz w:val="28"/>
              </w:rPr>
            </w:pPr>
            <w:r>
              <w:rPr>
                <w:rFonts w:ascii="宋体" w:cs="宋体"/>
                <w:b/>
                <w:sz w:val="28"/>
              </w:rPr>
              <w:t>设计意图</w:t>
            </w:r>
          </w:p>
        </w:tc>
      </w:tr>
      <w:tr w14:paraId="5F97D279">
        <w:tblPrEx>
          <w:tblCellMar>
            <w:top w:w="0" w:type="dxa"/>
            <w:left w:w="10" w:type="dxa"/>
            <w:bottom w:w="0" w:type="dxa"/>
            <w:right w:w="10" w:type="dxa"/>
          </w:tblCellMar>
        </w:tblPrEx>
        <w:trPr>
          <w:trHeight w:val="784"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17B594C7">
            <w:pPr>
              <w:ind w:firstLine="141" w:firstLineChars="50"/>
              <w:jc w:val="center"/>
              <w:rPr>
                <w:rFonts w:ascii="宋体" w:cs="宋体"/>
                <w:b/>
                <w:sz w:val="28"/>
              </w:rPr>
            </w:pPr>
            <w:r>
              <w:rPr>
                <w:rFonts w:ascii="宋体" w:cs="宋体"/>
                <w:b/>
                <w:sz w:val="28"/>
              </w:rPr>
              <w:t>导</w:t>
            </w:r>
          </w:p>
          <w:p w14:paraId="2C194F8A">
            <w:pPr>
              <w:ind w:firstLine="141" w:firstLineChars="50"/>
              <w:jc w:val="center"/>
            </w:pPr>
            <w:r>
              <w:rPr>
                <w:rFonts w:ascii="宋体" w:cs="宋体"/>
                <w:b/>
                <w:sz w:val="28"/>
              </w:rPr>
              <w:t>入</w:t>
            </w:r>
          </w:p>
        </w:tc>
        <w:tc>
          <w:tcPr>
            <w:tcW w:w="3017" w:type="dxa"/>
            <w:gridSpan w:val="2"/>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tcPr>
          <w:p w14:paraId="69BB59A6">
            <w:pPr>
              <w:spacing w:line="360" w:lineRule="auto"/>
              <w:ind w:firstLine="480" w:firstLineChars="200"/>
              <w:rPr>
                <w:rFonts w:ascii="Times New Roman" w:hAnsi="Times New Roman"/>
                <w:bCs/>
                <w:sz w:val="24"/>
                <w:szCs w:val="24"/>
              </w:rPr>
            </w:pPr>
            <w:r>
              <w:rPr>
                <w:rFonts w:hint="eastAsia" w:ascii="Times New Roman" w:hAnsi="Times New Roman"/>
                <w:bCs/>
                <w:sz w:val="24"/>
                <w:szCs w:val="24"/>
                <w:lang w:eastAsia="zh-CN"/>
              </w:rPr>
              <w:t>情境设置：播放一段城市轨道交通车站内乘客购票、检票的视频。</w:t>
            </w:r>
          </w:p>
          <w:p w14:paraId="200A684E">
            <w:pPr>
              <w:spacing w:line="360" w:lineRule="auto"/>
              <w:ind w:firstLine="480" w:firstLineChars="200"/>
              <w:rPr>
                <w:rFonts w:ascii="Times New Roman" w:hAnsi="Times New Roman"/>
                <w:bCs/>
                <w:sz w:val="24"/>
                <w:szCs w:val="24"/>
              </w:rPr>
            </w:pPr>
            <w:r>
              <w:rPr>
                <w:rFonts w:hint="eastAsia" w:ascii="Times New Roman" w:hAnsi="Times New Roman"/>
                <w:bCs/>
                <w:sz w:val="24"/>
                <w:szCs w:val="24"/>
                <w:lang w:eastAsia="zh-CN"/>
              </w:rPr>
              <w:t>问题引入：提出“什么是城市轨道交通票卡媒介？它们有哪些种类和特点？”等问题</w:t>
            </w:r>
            <w:bookmarkStart w:id="0" w:name="_GoBack"/>
            <w:bookmarkEnd w:id="0"/>
            <w:r>
              <w:rPr>
                <w:rFonts w:hint="eastAsia" w:ascii="Times New Roman" w:hAnsi="Times New Roman"/>
                <w:bCs/>
                <w:sz w:val="24"/>
                <w:szCs w:val="24"/>
                <w:lang w:eastAsia="zh-CN"/>
              </w:rPr>
              <w:t>。</w:t>
            </w:r>
          </w:p>
        </w:tc>
        <w:tc>
          <w:tcPr>
            <w:tcW w:w="2452" w:type="dxa"/>
            <w:tcBorders>
              <w:top w:val="single" w:color="000000" w:sz="4" w:space="0"/>
              <w:left w:val="single" w:color="auto" w:sz="4" w:space="0"/>
              <w:bottom w:val="single" w:color="000000" w:sz="4" w:space="0"/>
              <w:right w:val="single" w:color="000000" w:sz="4" w:space="0"/>
            </w:tcBorders>
            <w:shd w:val="clear" w:color="000000" w:fill="FFFFFF"/>
          </w:tcPr>
          <w:p w14:paraId="7BA0B40F">
            <w:pPr>
              <w:rPr>
                <w:rFonts w:ascii="宋体" w:cs="宋体"/>
                <w:sz w:val="22"/>
              </w:rPr>
            </w:pPr>
            <w:r>
              <w:rPr>
                <w:rFonts w:ascii="Times New Roman" w:hAnsi="Times New Roman"/>
                <w:sz w:val="24"/>
                <w:szCs w:val="24"/>
              </w:rPr>
              <w:t>学生思考后，教师补充</w:t>
            </w:r>
          </w:p>
          <w:p w14:paraId="5F2892F1">
            <w:pPr>
              <w:rPr>
                <w:rFonts w:ascii="宋体" w:cs="宋体"/>
                <w:sz w:val="22"/>
              </w:rPr>
            </w:pP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7E7410D4">
            <w:pPr>
              <w:spacing w:line="379" w:lineRule="auto"/>
              <w:rPr>
                <w:rFonts w:ascii="Times New Roman" w:hAnsi="Times New Roman"/>
                <w:sz w:val="24"/>
              </w:rPr>
            </w:pPr>
            <w:r>
              <w:rPr>
                <w:rFonts w:hint="eastAsia" w:ascii="Times New Roman" w:hAnsi="Times New Roman"/>
                <w:sz w:val="24"/>
                <w:lang w:val="en-US" w:eastAsia="zh-CN"/>
              </w:rPr>
              <w:t>通过视频让学生直观感受</w:t>
            </w:r>
            <w:r>
              <w:rPr>
                <w:rFonts w:hint="eastAsia" w:ascii="Times New Roman" w:hAnsi="Times New Roman"/>
                <w:bCs/>
                <w:sz w:val="24"/>
                <w:szCs w:val="24"/>
              </w:rPr>
              <w:t>城市轨道交通</w:t>
            </w:r>
            <w:r>
              <w:rPr>
                <w:rFonts w:hint="eastAsia" w:ascii="Times New Roman" w:hAnsi="Times New Roman"/>
                <w:bCs/>
                <w:sz w:val="24"/>
                <w:szCs w:val="24"/>
                <w:lang w:val="en-US" w:eastAsia="zh-CN"/>
              </w:rPr>
              <w:t>票卡媒介的使用过程</w:t>
            </w:r>
            <w:r>
              <w:rPr>
                <w:rFonts w:hint="eastAsia" w:ascii="Times New Roman" w:hAnsi="Times New Roman"/>
                <w:bCs/>
                <w:sz w:val="24"/>
                <w:szCs w:val="24"/>
                <w:lang w:eastAsia="zh-CN"/>
              </w:rPr>
              <w:t>，引导学生观察票卡媒介的使用情况</w:t>
            </w:r>
            <w:r>
              <w:rPr>
                <w:rFonts w:hint="eastAsia" w:ascii="Times New Roman" w:hAnsi="Times New Roman"/>
                <w:sz w:val="24"/>
              </w:rPr>
              <w:t>。</w:t>
            </w:r>
          </w:p>
          <w:p w14:paraId="57BE4C0D">
            <w:pPr>
              <w:spacing w:line="379" w:lineRule="auto"/>
              <w:rPr>
                <w:rFonts w:ascii="Times New Roman" w:hAnsi="Times New Roman"/>
                <w:sz w:val="24"/>
              </w:rPr>
            </w:pPr>
          </w:p>
          <w:p w14:paraId="48FE08A5">
            <w:pPr>
              <w:spacing w:line="379" w:lineRule="auto"/>
              <w:rPr>
                <w:rFonts w:ascii="Times New Roman" w:hAnsi="Times New Roman"/>
                <w:sz w:val="24"/>
              </w:rPr>
            </w:pPr>
          </w:p>
          <w:p w14:paraId="7CA66848">
            <w:pPr>
              <w:spacing w:line="379" w:lineRule="auto"/>
              <w:rPr>
                <w:rFonts w:ascii="Times New Roman" w:hAnsi="Times New Roman"/>
                <w:sz w:val="24"/>
              </w:rPr>
            </w:pPr>
          </w:p>
          <w:p w14:paraId="549E7FC0">
            <w:pPr>
              <w:spacing w:line="379" w:lineRule="auto"/>
              <w:rPr>
                <w:rFonts w:ascii="Times New Roman" w:hAnsi="Times New Roman"/>
                <w:sz w:val="24"/>
              </w:rPr>
            </w:pPr>
            <w:r>
              <w:rPr>
                <w:rFonts w:hint="eastAsia" w:ascii="Times New Roman" w:hAnsi="Times New Roman"/>
                <w:sz w:val="24"/>
              </w:rPr>
              <w:t>提出问题，引发学生思考。</w:t>
            </w:r>
          </w:p>
        </w:tc>
      </w:tr>
    </w:tbl>
    <w:tbl>
      <w:tblPr>
        <w:tblStyle w:val="3"/>
        <w:tblW w:w="100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9"/>
        <w:gridCol w:w="5479"/>
        <w:gridCol w:w="1515"/>
        <w:gridCol w:w="6"/>
        <w:gridCol w:w="1522"/>
      </w:tblGrid>
      <w:tr w14:paraId="22023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restart"/>
            <w:shd w:val="clear" w:color="auto" w:fill="FFFFFF" w:themeFill="background1"/>
          </w:tcPr>
          <w:p w14:paraId="5E72511C">
            <w:pPr>
              <w:jc w:val="center"/>
              <w:rPr>
                <w:rFonts w:ascii="宋体" w:cs="宋体"/>
                <w:b/>
                <w:sz w:val="28"/>
              </w:rPr>
            </w:pPr>
            <w:r>
              <w:rPr>
                <w:rFonts w:hint="eastAsia" w:ascii="宋体" w:cs="宋体"/>
                <w:b/>
                <w:sz w:val="28"/>
              </w:rPr>
              <w:t>教</w:t>
            </w:r>
          </w:p>
          <w:p w14:paraId="629E8140">
            <w:pPr>
              <w:rPr>
                <w:rFonts w:hint="eastAsia" w:ascii="宋体" w:cs="宋体"/>
                <w:b/>
                <w:sz w:val="28"/>
              </w:rPr>
            </w:pPr>
          </w:p>
          <w:p w14:paraId="75D16B88">
            <w:pPr>
              <w:jc w:val="center"/>
              <w:rPr>
                <w:rFonts w:cs="Calibri"/>
                <w:b/>
                <w:sz w:val="28"/>
              </w:rPr>
            </w:pPr>
            <w:r>
              <w:rPr>
                <w:rFonts w:hint="eastAsia" w:ascii="宋体" w:cs="宋体"/>
                <w:b/>
                <w:sz w:val="28"/>
              </w:rPr>
              <w:t>学</w:t>
            </w:r>
          </w:p>
          <w:p w14:paraId="7E174733">
            <w:pPr>
              <w:rPr>
                <w:rFonts w:ascii="宋体" w:cs="Calibri"/>
                <w:b/>
                <w:sz w:val="28"/>
              </w:rPr>
            </w:pPr>
          </w:p>
          <w:p w14:paraId="5E136709">
            <w:pPr>
              <w:jc w:val="center"/>
              <w:rPr>
                <w:rFonts w:cs="Calibri"/>
                <w:b/>
                <w:sz w:val="28"/>
              </w:rPr>
            </w:pPr>
            <w:r>
              <w:rPr>
                <w:rFonts w:hint="eastAsia" w:ascii="宋体" w:cs="Calibri"/>
                <w:b/>
                <w:sz w:val="28"/>
              </w:rPr>
              <w:t>过</w:t>
            </w:r>
          </w:p>
          <w:p w14:paraId="2964B9AF">
            <w:pPr>
              <w:jc w:val="center"/>
              <w:rPr>
                <w:rFonts w:ascii="宋体" w:cs="宋体"/>
                <w:b/>
                <w:sz w:val="28"/>
              </w:rPr>
            </w:pPr>
          </w:p>
          <w:p w14:paraId="18343A41">
            <w:pPr>
              <w:jc w:val="center"/>
              <w:rPr>
                <w:rFonts w:ascii="宋体" w:cs="宋体"/>
                <w:b/>
                <w:sz w:val="28"/>
              </w:rPr>
            </w:pPr>
            <w:r>
              <w:rPr>
                <w:rFonts w:hint="eastAsia" w:ascii="宋体" w:cs="宋体"/>
                <w:b/>
                <w:sz w:val="28"/>
              </w:rPr>
              <w:t>程</w:t>
            </w:r>
          </w:p>
          <w:p w14:paraId="26AB94A0"/>
        </w:tc>
        <w:tc>
          <w:tcPr>
            <w:tcW w:w="5479" w:type="dxa"/>
            <w:shd w:val="clear" w:color="auto" w:fill="FFFFFF" w:themeFill="background1"/>
          </w:tcPr>
          <w:p w14:paraId="7D9A7F97">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车票是供乘客乘坐交通工具时使用的，它记录了乘客的出行数据和费用详情，是乘坐地铁等轨道交通工具的合法证明。车票上详细记录了乘客购票后，完成整个旅程所需的费用、所花费的时间以及乘坐的路线等信息。</w:t>
            </w:r>
          </w:p>
          <w:p w14:paraId="6CA41345">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最初，地铁系统普遍使用纸质车票作为支付方式，但随着计算机技术、网络通信、电子设备和智能卡技术的不断进步，磁卡和智能IC卡逐渐取代了传统的纸质车票。现在，城市轨道交通主要采用的是非接触式的智能卡作为车票媒介。</w:t>
            </w:r>
          </w:p>
        </w:tc>
        <w:tc>
          <w:tcPr>
            <w:tcW w:w="1521" w:type="dxa"/>
            <w:gridSpan w:val="2"/>
            <w:shd w:val="clear" w:color="auto" w:fill="FFFFFF" w:themeFill="background1"/>
            <w:vAlign w:val="center"/>
          </w:tcPr>
          <w:p w14:paraId="176CAA95">
            <w:r>
              <w:rPr>
                <w:rFonts w:ascii="Times New Roman" w:hAnsi="Times New Roman"/>
                <w:sz w:val="24"/>
                <w:szCs w:val="24"/>
              </w:rPr>
              <w:t>师讲解，学生观</w:t>
            </w:r>
          </w:p>
        </w:tc>
        <w:tc>
          <w:tcPr>
            <w:tcW w:w="1522" w:type="dxa"/>
            <w:shd w:val="clear" w:color="auto" w:fill="FFFFFF" w:themeFill="background1"/>
            <w:vAlign w:val="center"/>
          </w:tcPr>
          <w:p w14:paraId="3ED8E627">
            <w:pPr>
              <w:rPr>
                <w:rFonts w:hint="default"/>
                <w:lang w:val="en-US"/>
              </w:rPr>
            </w:pPr>
            <w:r>
              <w:rPr>
                <w:rFonts w:hint="eastAsia" w:ascii="Times New Roman" w:hAnsi="Times New Roman"/>
                <w:sz w:val="24"/>
                <w:szCs w:val="24"/>
              </w:rPr>
              <w:t>使学生充分了解</w:t>
            </w:r>
            <w:r>
              <w:rPr>
                <w:rFonts w:hint="eastAsia" w:ascii="Times New Roman" w:hAnsi="Times New Roman"/>
                <w:sz w:val="24"/>
                <w:szCs w:val="24"/>
                <w:lang w:val="en-US" w:eastAsia="zh-CN"/>
              </w:rPr>
              <w:t>车票的重要性和发展情况</w:t>
            </w:r>
          </w:p>
        </w:tc>
      </w:tr>
      <w:tr w14:paraId="44B6E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1509" w:type="dxa"/>
            <w:vMerge w:val="continue"/>
            <w:shd w:val="clear" w:color="auto" w:fill="FFFFFF" w:themeFill="background1"/>
          </w:tcPr>
          <w:p w14:paraId="4B52DEEA"/>
        </w:tc>
        <w:tc>
          <w:tcPr>
            <w:tcW w:w="5479" w:type="dxa"/>
            <w:shd w:val="clear" w:color="auto" w:fill="FFFFFF" w:themeFill="background1"/>
            <w:vAlign w:val="top"/>
          </w:tcPr>
          <w:p w14:paraId="0DFFE4F4">
            <w:pPr>
              <w:pStyle w:val="5"/>
              <w:spacing w:line="360" w:lineRule="auto"/>
              <w:ind w:left="0" w:leftChars="0" w:firstLine="0" w:firstLineChars="0"/>
              <w:rPr>
                <w:rFonts w:hint="eastAsia" w:ascii="Times New Roman" w:hAnsi="Times New Roman"/>
                <w:sz w:val="24"/>
                <w:szCs w:val="24"/>
                <w:lang w:val="en-US" w:eastAsia="zh-CN"/>
              </w:rPr>
            </w:pPr>
            <w:r>
              <w:rPr>
                <w:rFonts w:hint="eastAsia" w:ascii="Times New Roman" w:hAnsi="Times New Roman"/>
                <w:sz w:val="24"/>
                <w:szCs w:val="24"/>
                <w:lang w:val="en-US" w:eastAsia="zh-CN"/>
              </w:rPr>
              <w:t>（一）按票卡媒介分类</w:t>
            </w:r>
          </w:p>
          <w:p w14:paraId="6F9DFDCE">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1.纸质车票</w:t>
            </w:r>
          </w:p>
          <w:p w14:paraId="2132E6C1">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最初，地铁系统普遍使用印有详细信息的纸质票据，这些信息包括站点名称、乘车区间、出行日期和票价等，通过工作人员的视觉检查来验证。纸票一般由存根、主券、进站副券、出站副券四部分组成（图2-1）。</w:t>
            </w:r>
          </w:p>
          <w:p w14:paraId="14C8942A">
            <w:pPr>
              <w:pStyle w:val="5"/>
              <w:spacing w:line="360" w:lineRule="auto"/>
              <w:ind w:left="0" w:leftChars="0" w:firstLine="0" w:firstLineChars="0"/>
              <w:rPr>
                <w:rFonts w:hint="eastAsia" w:ascii="Times New Roman" w:hAnsi="Times New Roman"/>
                <w:sz w:val="24"/>
                <w:szCs w:val="24"/>
                <w:lang w:val="en-US" w:eastAsia="zh-CN"/>
              </w:rPr>
            </w:pPr>
            <w:r>
              <w:rPr>
                <w:rFonts w:hint="eastAsia" w:ascii="Times New Roman" w:hAnsi="Times New Roman"/>
                <w:sz w:val="24"/>
                <w:szCs w:val="24"/>
                <w:lang w:val="en-US" w:eastAsia="zh-CN"/>
              </w:rPr>
              <w:drawing>
                <wp:inline distT="0" distB="0" distL="114300" distR="114300">
                  <wp:extent cx="3340735" cy="1004570"/>
                  <wp:effectExtent l="0" t="0" r="12065" b="508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4"/>
                          <a:stretch>
                            <a:fillRect/>
                          </a:stretch>
                        </pic:blipFill>
                        <pic:spPr>
                          <a:xfrm>
                            <a:off x="0" y="0"/>
                            <a:ext cx="3340735" cy="1004570"/>
                          </a:xfrm>
                          <a:prstGeom prst="rect">
                            <a:avLst/>
                          </a:prstGeom>
                          <a:noFill/>
                          <a:ln>
                            <a:noFill/>
                          </a:ln>
                        </pic:spPr>
                      </pic:pic>
                    </a:graphicData>
                  </a:graphic>
                </wp:inline>
              </w:drawing>
            </w:r>
          </w:p>
          <w:p w14:paraId="5C08D2B8">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在购票时，票务员会撕下存根部分，并将剩余的票交给乘客。存根用于地铁站内收益核查；进出站副券则在乘客进出站时供检票员查验；而主券则保留给乘客，用作纪念或报销之用。车票的基本信息包含：编号、始发站、出行日期、列城市轨道交通票务管理车班次、旅行区间、票价、时间限制以及是否可换乘等细节。纸质车票分为常规纸质票和带有条码的纸质票两种类型。在普通纸质票中，应急纸质票是一个常见的例子。纸质车票不能再次使用，并且依赖于人工售票和检票过程，这不仅效率低，也对轨道交通的收益管理造成了困难。</w:t>
            </w:r>
          </w:p>
        </w:tc>
        <w:tc>
          <w:tcPr>
            <w:tcW w:w="1521" w:type="dxa"/>
            <w:gridSpan w:val="2"/>
            <w:shd w:val="clear" w:color="auto" w:fill="FFFFFF" w:themeFill="background1"/>
            <w:vAlign w:val="center"/>
          </w:tcPr>
          <w:p w14:paraId="7CA157E0">
            <w:pPr>
              <w:rPr>
                <w:rFonts w:ascii="Times New Roman" w:hAnsi="Times New Roman"/>
                <w:sz w:val="24"/>
                <w:szCs w:val="24"/>
              </w:rPr>
            </w:pPr>
            <w:r>
              <w:rPr>
                <w:rFonts w:hint="eastAsia" w:ascii="Times New Roman" w:hAnsi="Times New Roman"/>
                <w:sz w:val="24"/>
                <w:szCs w:val="24"/>
              </w:rPr>
              <w:t>展示图片</w:t>
            </w:r>
          </w:p>
          <w:p w14:paraId="54B51E7D">
            <w:r>
              <w:rPr>
                <w:rFonts w:ascii="Times New Roman" w:hAnsi="Times New Roman"/>
                <w:sz w:val="24"/>
                <w:szCs w:val="24"/>
              </w:rPr>
              <w:t>师讲解，学生观</w:t>
            </w:r>
          </w:p>
        </w:tc>
        <w:tc>
          <w:tcPr>
            <w:tcW w:w="1522" w:type="dxa"/>
            <w:shd w:val="clear" w:color="auto" w:fill="FFFFFF" w:themeFill="background1"/>
            <w:vAlign w:val="center"/>
          </w:tcPr>
          <w:p w14:paraId="435F93D3">
            <w:pPr>
              <w:rPr>
                <w:rFonts w:hint="default"/>
                <w:lang w:val="en-US"/>
              </w:rPr>
            </w:pPr>
            <w:r>
              <w:rPr>
                <w:rFonts w:hint="eastAsia" w:ascii="Times New Roman" w:hAnsi="Times New Roman"/>
                <w:sz w:val="24"/>
                <w:szCs w:val="24"/>
              </w:rPr>
              <w:t>使学生充分了解</w:t>
            </w:r>
            <w:r>
              <w:rPr>
                <w:rFonts w:hint="eastAsia" w:ascii="Times New Roman" w:hAnsi="Times New Roman"/>
                <w:sz w:val="24"/>
                <w:szCs w:val="24"/>
                <w:lang w:val="en-US" w:eastAsia="zh-CN"/>
              </w:rPr>
              <w:t>纸质车票的组成、涵盖的基本信息和分类情况</w:t>
            </w:r>
          </w:p>
        </w:tc>
      </w:tr>
      <w:tr w14:paraId="32497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C23E43"/>
        </w:tc>
        <w:tc>
          <w:tcPr>
            <w:tcW w:w="5479" w:type="dxa"/>
            <w:shd w:val="clear" w:color="auto" w:fill="FFFFFF" w:themeFill="background1"/>
            <w:vAlign w:val="top"/>
          </w:tcPr>
          <w:p w14:paraId="5474DACC">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常见的纸质车票有普通纸票和条形码纸票。</w:t>
            </w:r>
          </w:p>
          <w:p w14:paraId="77631699">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①普通纸票。</w:t>
            </w:r>
          </w:p>
          <w:p w14:paraId="0C0AADDF">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普通纸票由于所有信息直接印制在票面上，因此保密性差，容易伪造，因此通常会在票面上增加防伪措施，如印刷加密图形等。设计纸票时，还可以节日、大型活动或者商业广告作为加密图形的题材，如图2-1所示。</w:t>
            </w:r>
          </w:p>
          <w:p w14:paraId="43EFA0D1">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lang w:val="en-US" w:eastAsia="zh-CN"/>
              </w:rPr>
              <w:drawing>
                <wp:inline distT="0" distB="0" distL="114300" distR="114300">
                  <wp:extent cx="3340735" cy="1004570"/>
                  <wp:effectExtent l="0" t="0" r="12065" b="508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4"/>
                          <a:stretch>
                            <a:fillRect/>
                          </a:stretch>
                        </pic:blipFill>
                        <pic:spPr>
                          <a:xfrm>
                            <a:off x="0" y="0"/>
                            <a:ext cx="3340735" cy="1004570"/>
                          </a:xfrm>
                          <a:prstGeom prst="rect">
                            <a:avLst/>
                          </a:prstGeom>
                          <a:noFill/>
                          <a:ln>
                            <a:noFill/>
                          </a:ln>
                        </pic:spPr>
                      </pic:pic>
                    </a:graphicData>
                  </a:graphic>
                </wp:inline>
              </w:drawing>
            </w:r>
          </w:p>
        </w:tc>
        <w:tc>
          <w:tcPr>
            <w:tcW w:w="1515" w:type="dxa"/>
            <w:shd w:val="clear" w:color="auto" w:fill="FFFFFF" w:themeFill="background1"/>
            <w:vAlign w:val="center"/>
          </w:tcPr>
          <w:p w14:paraId="0F204429">
            <w:pPr>
              <w:rPr>
                <w:rFonts w:ascii="Times New Roman" w:hAnsi="Times New Roman"/>
                <w:sz w:val="24"/>
                <w:szCs w:val="24"/>
              </w:rPr>
            </w:pPr>
            <w:r>
              <w:rPr>
                <w:rFonts w:hint="eastAsia" w:ascii="Times New Roman" w:hAnsi="Times New Roman"/>
                <w:sz w:val="24"/>
                <w:szCs w:val="24"/>
              </w:rPr>
              <w:t>展示图片</w:t>
            </w:r>
          </w:p>
          <w:p w14:paraId="63E3986F">
            <w:r>
              <w:rPr>
                <w:rFonts w:ascii="Times New Roman" w:hAnsi="Times New Roman"/>
                <w:sz w:val="24"/>
                <w:szCs w:val="24"/>
              </w:rPr>
              <w:t>师讲解，学生观</w:t>
            </w:r>
          </w:p>
        </w:tc>
        <w:tc>
          <w:tcPr>
            <w:tcW w:w="1528" w:type="dxa"/>
            <w:gridSpan w:val="2"/>
            <w:shd w:val="clear" w:color="auto" w:fill="FFFFFF" w:themeFill="background1"/>
            <w:vAlign w:val="center"/>
          </w:tcPr>
          <w:p w14:paraId="2D5BB55D">
            <w:r>
              <w:rPr>
                <w:rFonts w:hint="eastAsia" w:ascii="Times New Roman" w:hAnsi="Times New Roman"/>
                <w:sz w:val="24"/>
                <w:szCs w:val="24"/>
              </w:rPr>
              <w:t>使学生充分了解</w:t>
            </w:r>
            <w:r>
              <w:rPr>
                <w:rFonts w:hint="eastAsia" w:ascii="Times New Roman" w:hAnsi="Times New Roman"/>
                <w:sz w:val="24"/>
                <w:szCs w:val="24"/>
                <w:lang w:val="en-US" w:eastAsia="zh-CN"/>
              </w:rPr>
              <w:t>普通纸票</w:t>
            </w:r>
          </w:p>
        </w:tc>
      </w:tr>
      <w:tr w14:paraId="16955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894A21A"/>
        </w:tc>
        <w:tc>
          <w:tcPr>
            <w:tcW w:w="5479" w:type="dxa"/>
            <w:shd w:val="clear" w:color="auto" w:fill="FFFFFF" w:themeFill="background1"/>
            <w:vAlign w:val="top"/>
          </w:tcPr>
          <w:p w14:paraId="25A7F0A1">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②条形码纸票。</w:t>
            </w:r>
          </w:p>
          <w:p w14:paraId="51875EE0">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条形码纸票是将车票信息进行编码，经机器识别后，转换为车票信息。</w:t>
            </w:r>
          </w:p>
          <w:p w14:paraId="73B0E453">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条形码车票在使用过程中不能进行信息写入，信息写入是一次性的，使用过程中可以读取。因此条形码车票也是一次性车票，不可重复使用。条形码纸票在城市轨道交通中的应用主要在早期，并采用人工售票、机器识读的方式，如图2-2所示。</w:t>
            </w:r>
          </w:p>
          <w:p w14:paraId="0E48DB0F">
            <w:pPr>
              <w:pStyle w:val="5"/>
              <w:spacing w:line="360" w:lineRule="auto"/>
              <w:ind w:left="0" w:leftChars="0" w:firstLine="0" w:firstLineChars="0"/>
              <w:rPr>
                <w:rFonts w:hint="eastAsia" w:ascii="Times New Roman" w:hAnsi="Times New Roman"/>
                <w:sz w:val="24"/>
                <w:szCs w:val="24"/>
                <w:lang w:val="en-US" w:eastAsia="zh-CN"/>
              </w:rPr>
            </w:pPr>
            <w:r>
              <w:rPr>
                <w:rFonts w:hint="eastAsia" w:ascii="Times New Roman" w:hAnsi="Times New Roman"/>
                <w:sz w:val="24"/>
                <w:szCs w:val="24"/>
                <w:lang w:val="en-US" w:eastAsia="zh-CN"/>
              </w:rPr>
              <w:drawing>
                <wp:inline distT="0" distB="0" distL="114300" distR="114300">
                  <wp:extent cx="3339465" cy="1314450"/>
                  <wp:effectExtent l="0" t="0" r="13335" b="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5"/>
                          <a:stretch>
                            <a:fillRect/>
                          </a:stretch>
                        </pic:blipFill>
                        <pic:spPr>
                          <a:xfrm>
                            <a:off x="0" y="0"/>
                            <a:ext cx="3339465" cy="1314450"/>
                          </a:xfrm>
                          <a:prstGeom prst="rect">
                            <a:avLst/>
                          </a:prstGeom>
                          <a:noFill/>
                          <a:ln>
                            <a:noFill/>
                          </a:ln>
                        </pic:spPr>
                      </pic:pic>
                    </a:graphicData>
                  </a:graphic>
                </wp:inline>
              </w:drawing>
            </w:r>
          </w:p>
          <w:p w14:paraId="35D673A0">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纸质车票的特点有以下几点：</w:t>
            </w:r>
          </w:p>
          <w:p w14:paraId="4CCC119C">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a.纸票易丢失，给乘客和轨道交通运营企业带来经济损失。</w:t>
            </w:r>
          </w:p>
          <w:p w14:paraId="0596B2FF">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b.纸票不能循环使用，造成资源浪费。</w:t>
            </w:r>
          </w:p>
          <w:p w14:paraId="15FF9E88">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c.纸票安全程度不高，容易被复制仿造。</w:t>
            </w:r>
          </w:p>
        </w:tc>
        <w:tc>
          <w:tcPr>
            <w:tcW w:w="1515" w:type="dxa"/>
            <w:shd w:val="clear" w:color="auto" w:fill="FFFFFF" w:themeFill="background1"/>
            <w:vAlign w:val="center"/>
          </w:tcPr>
          <w:p w14:paraId="5F47C2D2">
            <w:pPr>
              <w:spacing w:line="379" w:lineRule="auto"/>
            </w:pPr>
            <w:r>
              <w:rPr>
                <w:rFonts w:hint="eastAsia" w:ascii="Times New Roman" w:hAnsi="Times New Roman"/>
                <w:sz w:val="24"/>
              </w:rPr>
              <w:t>教师讲述</w:t>
            </w:r>
          </w:p>
        </w:tc>
        <w:tc>
          <w:tcPr>
            <w:tcW w:w="1528" w:type="dxa"/>
            <w:gridSpan w:val="2"/>
            <w:shd w:val="clear" w:color="auto" w:fill="FFFFFF" w:themeFill="background1"/>
            <w:vAlign w:val="center"/>
          </w:tcPr>
          <w:p w14:paraId="5F09D09F">
            <w:r>
              <w:rPr>
                <w:rFonts w:hint="eastAsia" w:ascii="Times New Roman" w:hAnsi="Times New Roman"/>
                <w:sz w:val="24"/>
                <w:szCs w:val="24"/>
              </w:rPr>
              <w:t>使学生充分了解</w:t>
            </w:r>
            <w:r>
              <w:rPr>
                <w:rFonts w:hint="eastAsia" w:ascii="Times New Roman" w:hAnsi="Times New Roman"/>
                <w:sz w:val="24"/>
                <w:szCs w:val="24"/>
                <w:lang w:val="en-US" w:eastAsia="zh-CN"/>
              </w:rPr>
              <w:t>条形码纸票</w:t>
            </w:r>
          </w:p>
        </w:tc>
      </w:tr>
      <w:tr w14:paraId="23AED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A5A0138"/>
        </w:tc>
        <w:tc>
          <w:tcPr>
            <w:tcW w:w="5479" w:type="dxa"/>
            <w:shd w:val="clear" w:color="auto" w:fill="FFFFFF" w:themeFill="background1"/>
            <w:vAlign w:val="top"/>
          </w:tcPr>
          <w:p w14:paraId="5E507DDC">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2.磁卡车票</w:t>
            </w:r>
          </w:p>
          <w:p w14:paraId="7FABD1B3">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磁卡是一种利用磁性载体记录信息的介质卡片，通过读写设备可以获取和修改存储在卡片上的信息。这种卡片由耐高温、高强度的塑料或涂覆塑料的纸制成，一面印有指导性的说明信息，例如插卡的方向；而另一面则包含磁层或磁条，具备2到3个磁道用于记录数据信息。</w:t>
            </w:r>
          </w:p>
          <w:p w14:paraId="77A65240">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①磁卡的构成。</w:t>
            </w:r>
          </w:p>
          <w:p w14:paraId="50794423">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常见的磁卡上有3个磁道，称为Track1、Track2、Track3。</w:t>
            </w:r>
          </w:p>
          <w:p w14:paraId="789911B0">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磁道1与磁道2均为只读磁道，使用时仅能读取其上信息，禁止进行写入或更改；而磁道3则为可读写磁道，使用时既可读取信息，亦可进行写入操作，如图2-3所示。</w:t>
            </w:r>
          </w:p>
          <w:p w14:paraId="55CF88B0">
            <w:pPr>
              <w:pStyle w:val="5"/>
              <w:spacing w:line="360" w:lineRule="auto"/>
              <w:ind w:left="0" w:leftChars="0" w:firstLine="0" w:firstLineChars="0"/>
              <w:rPr>
                <w:rFonts w:hint="eastAsia" w:ascii="Times New Roman" w:hAnsi="Times New Roman"/>
                <w:sz w:val="24"/>
                <w:szCs w:val="24"/>
                <w:lang w:val="en-US" w:eastAsia="zh-CN"/>
              </w:rPr>
            </w:pPr>
            <w:r>
              <w:rPr>
                <w:rFonts w:hint="eastAsia" w:ascii="Times New Roman" w:hAnsi="Times New Roman"/>
                <w:sz w:val="24"/>
                <w:szCs w:val="24"/>
                <w:lang w:val="en-US" w:eastAsia="zh-CN"/>
              </w:rPr>
              <w:drawing>
                <wp:inline distT="0" distB="0" distL="114300" distR="114300">
                  <wp:extent cx="3329305" cy="1422400"/>
                  <wp:effectExtent l="0" t="0" r="4445" b="635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6"/>
                          <a:stretch>
                            <a:fillRect/>
                          </a:stretch>
                        </pic:blipFill>
                        <pic:spPr>
                          <a:xfrm>
                            <a:off x="0" y="0"/>
                            <a:ext cx="3329305" cy="1422400"/>
                          </a:xfrm>
                          <a:prstGeom prst="rect">
                            <a:avLst/>
                          </a:prstGeom>
                          <a:noFill/>
                          <a:ln>
                            <a:noFill/>
                          </a:ln>
                        </pic:spPr>
                      </pic:pic>
                    </a:graphicData>
                  </a:graphic>
                </wp:inline>
              </w:drawing>
            </w:r>
          </w:p>
          <w:p w14:paraId="1A2AC7ED">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②磁卡的特点。</w:t>
            </w:r>
          </w:p>
          <w:p w14:paraId="7ED4DD2C">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a.磁卡必须要与读写设备进行直接接触后才可以进行数据交换。</w:t>
            </w:r>
          </w:p>
          <w:p w14:paraId="4862D242">
            <w:pPr>
              <w:pStyle w:val="5"/>
              <w:spacing w:line="360" w:lineRule="auto"/>
              <w:ind w:firstLine="480"/>
              <w:rPr>
                <w:rFonts w:hint="eastAsia" w:ascii="Times New Roman" w:hAnsi="Times New Roman"/>
                <w:sz w:val="24"/>
                <w:szCs w:val="24"/>
                <w:lang w:val="en-US" w:eastAsia="zh-CN"/>
              </w:rPr>
            </w:pPr>
            <w:r>
              <w:rPr>
                <w:rFonts w:hint="eastAsia" w:ascii="Times New Roman" w:hAnsi="Times New Roman"/>
                <w:sz w:val="24"/>
                <w:szCs w:val="24"/>
                <w:lang w:val="en-US" w:eastAsia="zh-CN"/>
              </w:rPr>
              <w:t>b.磁卡安全程度不高。</w:t>
            </w:r>
          </w:p>
          <w:p w14:paraId="14F78B5E">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c.磁卡易消磁，使用次数有限。</w:t>
            </w:r>
          </w:p>
        </w:tc>
        <w:tc>
          <w:tcPr>
            <w:tcW w:w="1515" w:type="dxa"/>
            <w:shd w:val="clear" w:color="auto" w:fill="FFFFFF" w:themeFill="background1"/>
            <w:vAlign w:val="center"/>
          </w:tcPr>
          <w:p w14:paraId="3DEECB6A">
            <w:pPr>
              <w:rPr>
                <w:rFonts w:ascii="Times New Roman" w:hAnsi="Times New Roman"/>
                <w:sz w:val="24"/>
                <w:szCs w:val="24"/>
              </w:rPr>
            </w:pPr>
            <w:r>
              <w:rPr>
                <w:rFonts w:hint="eastAsia" w:ascii="Times New Roman" w:hAnsi="Times New Roman"/>
                <w:sz w:val="24"/>
                <w:szCs w:val="24"/>
              </w:rPr>
              <w:t>展示图片</w:t>
            </w:r>
          </w:p>
          <w:p w14:paraId="7897749D">
            <w:r>
              <w:rPr>
                <w:rFonts w:ascii="Times New Roman" w:hAnsi="Times New Roman"/>
                <w:sz w:val="24"/>
                <w:szCs w:val="24"/>
              </w:rPr>
              <w:t>师讲解，学生观</w:t>
            </w:r>
          </w:p>
        </w:tc>
        <w:tc>
          <w:tcPr>
            <w:tcW w:w="1528" w:type="dxa"/>
            <w:gridSpan w:val="2"/>
            <w:shd w:val="clear" w:color="auto" w:fill="FFFFFF" w:themeFill="background1"/>
            <w:vAlign w:val="center"/>
          </w:tcPr>
          <w:p w14:paraId="1CE8A280">
            <w:pPr>
              <w:rPr>
                <w:rFonts w:hint="default"/>
                <w:lang w:val="en-US"/>
              </w:rPr>
            </w:pPr>
            <w:r>
              <w:rPr>
                <w:rFonts w:hint="eastAsia" w:ascii="Times New Roman" w:hAnsi="Times New Roman"/>
                <w:sz w:val="24"/>
                <w:szCs w:val="24"/>
              </w:rPr>
              <w:t>使学生充分了解</w:t>
            </w:r>
            <w:r>
              <w:rPr>
                <w:rFonts w:hint="eastAsia" w:ascii="Times New Roman" w:hAnsi="Times New Roman"/>
                <w:sz w:val="24"/>
                <w:szCs w:val="24"/>
                <w:lang w:val="en-US" w:eastAsia="zh-CN"/>
              </w:rPr>
              <w:t>磁卡车票的构成和特点</w:t>
            </w:r>
          </w:p>
        </w:tc>
      </w:tr>
      <w:tr w14:paraId="7E09D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5C98551"/>
        </w:tc>
        <w:tc>
          <w:tcPr>
            <w:tcW w:w="5479" w:type="dxa"/>
            <w:shd w:val="clear" w:color="auto" w:fill="FFFFFF" w:themeFill="background1"/>
          </w:tcPr>
          <w:p w14:paraId="5081AD88">
            <w:pPr>
              <w:pStyle w:val="5"/>
              <w:spacing w:line="360" w:lineRule="auto"/>
              <w:ind w:firstLine="480"/>
              <w:rPr>
                <w:rFonts w:hint="eastAsia" w:ascii="Times New Roman" w:hAnsi="Times New Roman" w:eastAsia="宋体"/>
                <w:sz w:val="24"/>
                <w:szCs w:val="24"/>
                <w:lang w:eastAsia="zh-CN"/>
              </w:rPr>
            </w:pPr>
            <w:r>
              <w:rPr>
                <w:rFonts w:hint="eastAsia" w:ascii="Times New Roman" w:hAnsi="Times New Roman"/>
                <w:sz w:val="24"/>
                <w:szCs w:val="24"/>
              </w:rPr>
              <w:t>3.智能车票</w:t>
            </w:r>
          </w:p>
          <w:p w14:paraId="4C2F3A85">
            <w:pPr>
              <w:pStyle w:val="5"/>
              <w:spacing w:line="360" w:lineRule="auto"/>
              <w:ind w:firstLine="480"/>
              <w:rPr>
                <w:rFonts w:hint="eastAsia" w:ascii="Times New Roman" w:hAnsi="Times New Roman" w:eastAsia="宋体"/>
                <w:sz w:val="24"/>
                <w:szCs w:val="24"/>
                <w:lang w:eastAsia="zh-CN"/>
              </w:rPr>
            </w:pPr>
            <w:r>
              <w:rPr>
                <w:rFonts w:hint="eastAsia" w:ascii="Times New Roman" w:hAnsi="Times New Roman"/>
                <w:sz w:val="24"/>
                <w:szCs w:val="24"/>
              </w:rPr>
              <w:t>集成电路卡，亦称作智能卡或智能IC卡，是一种将车票信息存储于特定集成电路芯片内的卡片。通过智能卡读写设备，可以读取和更新这些信息。该卡片具备大容量存储、可编辑性以及高级别的安全性能。</w:t>
            </w:r>
          </w:p>
          <w:p w14:paraId="2EB7BDB1">
            <w:pPr>
              <w:pStyle w:val="5"/>
              <w:spacing w:line="360" w:lineRule="auto"/>
              <w:ind w:firstLine="480"/>
              <w:rPr>
                <w:rFonts w:hint="eastAsia" w:ascii="Times New Roman" w:hAnsi="Times New Roman"/>
                <w:sz w:val="24"/>
                <w:szCs w:val="24"/>
              </w:rPr>
            </w:pPr>
            <w:r>
              <w:rPr>
                <w:rFonts w:hint="eastAsia" w:ascii="Times New Roman" w:hAnsi="Times New Roman"/>
                <w:sz w:val="24"/>
                <w:szCs w:val="24"/>
              </w:rPr>
              <w:t>①按外形不同，智能票卡可以分为薄卡式、筹码式、异形卡，如图2-4所示。</w:t>
            </w:r>
          </w:p>
          <w:p w14:paraId="07A3C6F9">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3340735" cy="1219835"/>
                  <wp:effectExtent l="0" t="0" r="12065" b="1841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7"/>
                          <a:stretch>
                            <a:fillRect/>
                          </a:stretch>
                        </pic:blipFill>
                        <pic:spPr>
                          <a:xfrm>
                            <a:off x="0" y="0"/>
                            <a:ext cx="3340735" cy="1219835"/>
                          </a:xfrm>
                          <a:prstGeom prst="rect">
                            <a:avLst/>
                          </a:prstGeom>
                          <a:noFill/>
                          <a:ln>
                            <a:noFill/>
                          </a:ln>
                        </pic:spPr>
                      </pic:pic>
                    </a:graphicData>
                  </a:graphic>
                </wp:inline>
              </w:drawing>
            </w:r>
          </w:p>
        </w:tc>
        <w:tc>
          <w:tcPr>
            <w:tcW w:w="1515" w:type="dxa"/>
            <w:shd w:val="clear" w:color="auto" w:fill="FFFFFF" w:themeFill="background1"/>
            <w:vAlign w:val="center"/>
          </w:tcPr>
          <w:p w14:paraId="149A6BBC">
            <w:pPr>
              <w:rPr>
                <w:rFonts w:ascii="Times New Roman" w:hAnsi="Times New Roman"/>
                <w:sz w:val="24"/>
                <w:szCs w:val="24"/>
              </w:rPr>
            </w:pPr>
            <w:r>
              <w:rPr>
                <w:rFonts w:hint="eastAsia" w:ascii="Times New Roman" w:hAnsi="Times New Roman"/>
                <w:sz w:val="24"/>
                <w:szCs w:val="24"/>
              </w:rPr>
              <w:t>展示图片</w:t>
            </w:r>
          </w:p>
          <w:p w14:paraId="044CA827">
            <w:r>
              <w:rPr>
                <w:rFonts w:ascii="Times New Roman" w:hAnsi="Times New Roman"/>
                <w:sz w:val="24"/>
                <w:szCs w:val="24"/>
              </w:rPr>
              <w:t>师讲解，学生观</w:t>
            </w:r>
          </w:p>
        </w:tc>
        <w:tc>
          <w:tcPr>
            <w:tcW w:w="1528" w:type="dxa"/>
            <w:gridSpan w:val="2"/>
            <w:shd w:val="clear" w:color="auto" w:fill="FFFFFF" w:themeFill="background1"/>
            <w:vAlign w:val="center"/>
          </w:tcPr>
          <w:p w14:paraId="0CF3BF98">
            <w:pPr>
              <w:rPr>
                <w:rFonts w:hint="default" w:eastAsia="宋体"/>
                <w:lang w:val="en-US" w:eastAsia="zh-CN"/>
              </w:rPr>
            </w:pPr>
            <w:r>
              <w:rPr>
                <w:rFonts w:hint="eastAsia" w:ascii="Times New Roman" w:hAnsi="Times New Roman"/>
                <w:sz w:val="24"/>
                <w:szCs w:val="24"/>
              </w:rPr>
              <w:t>使学生充分了解智能车票</w:t>
            </w:r>
            <w:r>
              <w:rPr>
                <w:rFonts w:hint="eastAsia" w:ascii="Times New Roman" w:hAnsi="Times New Roman"/>
                <w:sz w:val="24"/>
                <w:szCs w:val="24"/>
                <w:lang w:val="en-US" w:eastAsia="zh-CN"/>
              </w:rPr>
              <w:t>和不同外形的</w:t>
            </w:r>
            <w:r>
              <w:rPr>
                <w:rFonts w:hint="eastAsia" w:ascii="Times New Roman" w:hAnsi="Times New Roman"/>
                <w:sz w:val="24"/>
                <w:szCs w:val="24"/>
              </w:rPr>
              <w:t>智能车票</w:t>
            </w:r>
          </w:p>
        </w:tc>
      </w:tr>
      <w:tr w14:paraId="1D3FA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A403635"/>
        </w:tc>
        <w:tc>
          <w:tcPr>
            <w:tcW w:w="5479" w:type="dxa"/>
            <w:shd w:val="clear" w:color="auto" w:fill="FFFFFF" w:themeFill="background1"/>
          </w:tcPr>
          <w:p w14:paraId="49053CB0">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②按读写方式不同，智能票卡可分为接触式IC卡和非接触式IC卡两种。</w:t>
            </w:r>
          </w:p>
          <w:p w14:paraId="2CFEED9F">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接触式IC卡：与读写设备的连接是通过卡片正面的触点来进行的，一般由基片、接触面、集成电路芯片组成，如图2-5所示。</w:t>
            </w:r>
          </w:p>
          <w:p w14:paraId="180278A2">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2019300" cy="1403350"/>
                  <wp:effectExtent l="0" t="0" r="0" b="6350"/>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8"/>
                          <a:stretch>
                            <a:fillRect/>
                          </a:stretch>
                        </pic:blipFill>
                        <pic:spPr>
                          <a:xfrm>
                            <a:off x="0" y="0"/>
                            <a:ext cx="2019300" cy="1403350"/>
                          </a:xfrm>
                          <a:prstGeom prst="rect">
                            <a:avLst/>
                          </a:prstGeom>
                          <a:noFill/>
                          <a:ln>
                            <a:noFill/>
                          </a:ln>
                        </pic:spPr>
                      </pic:pic>
                    </a:graphicData>
                  </a:graphic>
                </wp:inline>
              </w:drawing>
            </w:r>
          </w:p>
        </w:tc>
        <w:tc>
          <w:tcPr>
            <w:tcW w:w="1515" w:type="dxa"/>
            <w:shd w:val="clear" w:color="auto" w:fill="FFFFFF" w:themeFill="background1"/>
            <w:vAlign w:val="center"/>
          </w:tcPr>
          <w:p w14:paraId="2A681E76">
            <w:pPr>
              <w:rPr>
                <w:rFonts w:ascii="Times New Roman" w:hAnsi="Times New Roman"/>
                <w:sz w:val="24"/>
                <w:szCs w:val="24"/>
              </w:rPr>
            </w:pPr>
            <w:r>
              <w:rPr>
                <w:rFonts w:hint="eastAsia" w:ascii="Times New Roman" w:hAnsi="Times New Roman"/>
                <w:sz w:val="24"/>
                <w:szCs w:val="24"/>
              </w:rPr>
              <w:t>展示图片</w:t>
            </w:r>
          </w:p>
          <w:p w14:paraId="640CF8B0">
            <w:r>
              <w:rPr>
                <w:rFonts w:ascii="Times New Roman" w:hAnsi="Times New Roman"/>
                <w:sz w:val="24"/>
                <w:szCs w:val="24"/>
              </w:rPr>
              <w:t>师讲解，学生观</w:t>
            </w:r>
          </w:p>
        </w:tc>
        <w:tc>
          <w:tcPr>
            <w:tcW w:w="1528" w:type="dxa"/>
            <w:gridSpan w:val="2"/>
            <w:shd w:val="clear" w:color="auto" w:fill="FFFFFF" w:themeFill="background1"/>
            <w:vAlign w:val="center"/>
          </w:tcPr>
          <w:p w14:paraId="29AAEC80">
            <w:r>
              <w:rPr>
                <w:rFonts w:hint="eastAsia" w:ascii="Times New Roman" w:hAnsi="Times New Roman"/>
                <w:sz w:val="24"/>
                <w:szCs w:val="24"/>
              </w:rPr>
              <w:t>使学生充分了解</w:t>
            </w:r>
            <w:r>
              <w:rPr>
                <w:rFonts w:hint="eastAsia" w:ascii="Times New Roman" w:hAnsi="Times New Roman"/>
                <w:sz w:val="24"/>
                <w:szCs w:val="24"/>
                <w:lang w:val="en-US" w:eastAsia="zh-CN"/>
              </w:rPr>
              <w:t>接触式IC卡</w:t>
            </w:r>
          </w:p>
        </w:tc>
      </w:tr>
      <w:tr w14:paraId="704BA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E1D802A"/>
        </w:tc>
        <w:tc>
          <w:tcPr>
            <w:tcW w:w="5479" w:type="dxa"/>
            <w:shd w:val="clear" w:color="auto" w:fill="FFFFFF" w:themeFill="background1"/>
          </w:tcPr>
          <w:p w14:paraId="598C4998">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非接触式IC卡：亦称RFID卡，由集成电路芯片和感应天线构成，被封装于塑料卡片之中，芯片与天线均不暴露。这种卡片利用内置的收发天线与读写器进行信息交流，仅需将卡片置于读写器表面一定距离（一般为5至10厘米）内，即可通过无线电波传输实现数据的读取与写入。由于其与读写器之间无须物理接触，因此得名非接触式智能卡。该技术克服了无源和非接触操作的挑战，代表了电子设备领域的一项重大进步，如图2-6所示。</w:t>
            </w:r>
          </w:p>
          <w:p w14:paraId="68B7D2E9">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2035810" cy="1800860"/>
                  <wp:effectExtent l="0" t="0" r="2540" b="889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9"/>
                          <a:stretch>
                            <a:fillRect/>
                          </a:stretch>
                        </pic:blipFill>
                        <pic:spPr>
                          <a:xfrm>
                            <a:off x="0" y="0"/>
                            <a:ext cx="2035810" cy="1800860"/>
                          </a:xfrm>
                          <a:prstGeom prst="rect">
                            <a:avLst/>
                          </a:prstGeom>
                          <a:noFill/>
                          <a:ln>
                            <a:noFill/>
                          </a:ln>
                        </pic:spPr>
                      </pic:pic>
                    </a:graphicData>
                  </a:graphic>
                </wp:inline>
              </w:drawing>
            </w:r>
          </w:p>
        </w:tc>
        <w:tc>
          <w:tcPr>
            <w:tcW w:w="1515" w:type="dxa"/>
            <w:shd w:val="clear" w:color="auto" w:fill="FFFFFF" w:themeFill="background1"/>
            <w:vAlign w:val="center"/>
          </w:tcPr>
          <w:p w14:paraId="6F232A5B">
            <w:pPr>
              <w:rPr>
                <w:rFonts w:ascii="Times New Roman" w:hAnsi="Times New Roman"/>
                <w:sz w:val="24"/>
                <w:szCs w:val="24"/>
              </w:rPr>
            </w:pPr>
            <w:r>
              <w:rPr>
                <w:rFonts w:hint="eastAsia" w:ascii="Times New Roman" w:hAnsi="Times New Roman"/>
                <w:sz w:val="24"/>
                <w:szCs w:val="24"/>
              </w:rPr>
              <w:t>展示图片</w:t>
            </w:r>
          </w:p>
          <w:p w14:paraId="331CCC9C">
            <w:pPr>
              <w:rPr>
                <w:rFonts w:ascii="Times New Roman" w:hAnsi="Times New Roman"/>
                <w:sz w:val="24"/>
                <w:szCs w:val="24"/>
              </w:rPr>
            </w:pPr>
            <w:r>
              <w:rPr>
                <w:rFonts w:ascii="Times New Roman" w:hAnsi="Times New Roman"/>
                <w:sz w:val="24"/>
                <w:szCs w:val="24"/>
              </w:rPr>
              <w:t>师讲解，学生观</w:t>
            </w:r>
          </w:p>
        </w:tc>
        <w:tc>
          <w:tcPr>
            <w:tcW w:w="1528" w:type="dxa"/>
            <w:gridSpan w:val="2"/>
            <w:shd w:val="clear" w:color="auto" w:fill="FFFFFF" w:themeFill="background1"/>
            <w:vAlign w:val="center"/>
          </w:tcPr>
          <w:p w14:paraId="72E257B5">
            <w:pPr>
              <w:rPr>
                <w:rFonts w:ascii="Times New Roman" w:hAnsi="Times New Roman"/>
                <w:sz w:val="24"/>
                <w:szCs w:val="24"/>
              </w:rPr>
            </w:pPr>
            <w:r>
              <w:rPr>
                <w:rFonts w:hint="eastAsia" w:ascii="Times New Roman" w:hAnsi="Times New Roman"/>
                <w:sz w:val="24"/>
                <w:szCs w:val="24"/>
              </w:rPr>
              <w:t>使学生充分了解</w:t>
            </w:r>
            <w:r>
              <w:rPr>
                <w:rFonts w:hint="eastAsia" w:ascii="Times New Roman" w:hAnsi="Times New Roman"/>
                <w:sz w:val="24"/>
                <w:szCs w:val="24"/>
                <w:lang w:val="en-US" w:eastAsia="zh-CN"/>
              </w:rPr>
              <w:t>非接触式IC卡</w:t>
            </w:r>
          </w:p>
        </w:tc>
      </w:tr>
      <w:tr w14:paraId="455E2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28CCF22"/>
        </w:tc>
        <w:tc>
          <w:tcPr>
            <w:tcW w:w="5479" w:type="dxa"/>
            <w:shd w:val="clear" w:color="auto" w:fill="FFFFFF" w:themeFill="background1"/>
          </w:tcPr>
          <w:p w14:paraId="6B0915CC">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lang w:val="en-US" w:eastAsia="zh-CN"/>
              </w:rPr>
              <w:t>（二）按使用性质分类</w:t>
            </w:r>
          </w:p>
          <w:p w14:paraId="6220EC73">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根据使用性质的不同，城市轨道交通票卡一般可以划分为单程票、储值票以及许可票（也称为特种票）这三大类别。</w:t>
            </w:r>
          </w:p>
        </w:tc>
        <w:tc>
          <w:tcPr>
            <w:tcW w:w="1515" w:type="dxa"/>
            <w:shd w:val="clear" w:color="auto" w:fill="FFFFFF" w:themeFill="background1"/>
            <w:vAlign w:val="center"/>
          </w:tcPr>
          <w:p w14:paraId="5C4AD4CA">
            <w:r>
              <w:rPr>
                <w:rFonts w:ascii="Times New Roman" w:hAnsi="Times New Roman"/>
                <w:sz w:val="24"/>
                <w:szCs w:val="24"/>
              </w:rPr>
              <w:t>师讲解，学生观</w:t>
            </w:r>
          </w:p>
        </w:tc>
        <w:tc>
          <w:tcPr>
            <w:tcW w:w="1528" w:type="dxa"/>
            <w:gridSpan w:val="2"/>
            <w:shd w:val="clear" w:color="auto" w:fill="FFFFFF" w:themeFill="background1"/>
            <w:vAlign w:val="center"/>
          </w:tcPr>
          <w:p w14:paraId="3DD23C40">
            <w:pPr>
              <w:rPr>
                <w:rFonts w:hint="default" w:eastAsia="宋体"/>
                <w:lang w:val="en-US" w:eastAsia="zh-CN"/>
              </w:rPr>
            </w:pPr>
            <w:r>
              <w:rPr>
                <w:rFonts w:hint="eastAsia" w:ascii="Times New Roman" w:hAnsi="Times New Roman"/>
                <w:sz w:val="24"/>
                <w:szCs w:val="24"/>
              </w:rPr>
              <w:t>使学生</w:t>
            </w:r>
            <w:r>
              <w:rPr>
                <w:rFonts w:hint="eastAsia" w:ascii="Times New Roman" w:hAnsi="Times New Roman"/>
                <w:sz w:val="24"/>
                <w:szCs w:val="24"/>
                <w:lang w:val="en-US" w:eastAsia="zh-CN"/>
              </w:rPr>
              <w:t>了解城市轨道交通票卡按使用性质分类的具体类别</w:t>
            </w:r>
          </w:p>
        </w:tc>
      </w:tr>
      <w:tr w14:paraId="70FF4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838711C"/>
        </w:tc>
        <w:tc>
          <w:tcPr>
            <w:tcW w:w="5479" w:type="dxa"/>
            <w:shd w:val="clear" w:color="auto" w:fill="FFFFFF" w:themeFill="background1"/>
          </w:tcPr>
          <w:p w14:paraId="2E6EEAEF">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1.单程票</w:t>
            </w:r>
          </w:p>
          <w:p w14:paraId="4C49D4E4">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一次旅行承诺的单程票，是乘客支付固定费用后，仅允许一次进站和一次出站的车票。若超出了既定里程，乘客需额外购票。单程票有以下几种类型：</w:t>
            </w:r>
          </w:p>
          <w:p w14:paraId="5697EFE4">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①普通单程票。这种车票是单程票中应用最广、使用频率最高的类型。乘客在购票时会对票卡进行充值，仅限当天在指定站点使用，且有距离和时间的限制（根据设定的参数），出站后票卡将被回收，如图2-7所示。</w:t>
            </w:r>
          </w:p>
          <w:p w14:paraId="2687FC7B">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2008505" cy="1270635"/>
                  <wp:effectExtent l="0" t="0" r="10795" b="5715"/>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10"/>
                          <a:stretch>
                            <a:fillRect/>
                          </a:stretch>
                        </pic:blipFill>
                        <pic:spPr>
                          <a:xfrm>
                            <a:off x="0" y="0"/>
                            <a:ext cx="2008505" cy="1270635"/>
                          </a:xfrm>
                          <a:prstGeom prst="rect">
                            <a:avLst/>
                          </a:prstGeom>
                          <a:noFill/>
                          <a:ln>
                            <a:noFill/>
                          </a:ln>
                        </pic:spPr>
                      </pic:pic>
                    </a:graphicData>
                  </a:graphic>
                </wp:inline>
              </w:drawing>
            </w:r>
          </w:p>
        </w:tc>
        <w:tc>
          <w:tcPr>
            <w:tcW w:w="1515" w:type="dxa"/>
            <w:shd w:val="clear" w:color="auto" w:fill="FFFFFF" w:themeFill="background1"/>
            <w:vAlign w:val="center"/>
          </w:tcPr>
          <w:p w14:paraId="165EC844">
            <w:pPr>
              <w:rPr>
                <w:rFonts w:ascii="Times New Roman" w:hAnsi="Times New Roman"/>
                <w:sz w:val="24"/>
                <w:szCs w:val="24"/>
              </w:rPr>
            </w:pPr>
            <w:r>
              <w:rPr>
                <w:rFonts w:hint="eastAsia" w:ascii="Times New Roman" w:hAnsi="Times New Roman"/>
                <w:sz w:val="24"/>
                <w:szCs w:val="24"/>
              </w:rPr>
              <w:t>展示图片</w:t>
            </w:r>
          </w:p>
          <w:p w14:paraId="0E1EC01D">
            <w:r>
              <w:rPr>
                <w:rFonts w:ascii="Times New Roman" w:hAnsi="Times New Roman"/>
                <w:sz w:val="24"/>
                <w:szCs w:val="24"/>
              </w:rPr>
              <w:t>师讲解，学生观</w:t>
            </w:r>
          </w:p>
        </w:tc>
        <w:tc>
          <w:tcPr>
            <w:tcW w:w="1528" w:type="dxa"/>
            <w:gridSpan w:val="2"/>
            <w:shd w:val="clear" w:color="auto" w:fill="FFFFFF" w:themeFill="background1"/>
            <w:vAlign w:val="center"/>
          </w:tcPr>
          <w:p w14:paraId="3FA67C67">
            <w:r>
              <w:rPr>
                <w:rFonts w:hint="eastAsia" w:ascii="Times New Roman" w:hAnsi="Times New Roman"/>
                <w:sz w:val="24"/>
                <w:szCs w:val="24"/>
              </w:rPr>
              <w:t>使学生充分了解</w:t>
            </w:r>
            <w:r>
              <w:rPr>
                <w:rFonts w:hint="eastAsia" w:ascii="Times New Roman" w:hAnsi="Times New Roman"/>
                <w:sz w:val="24"/>
                <w:szCs w:val="24"/>
                <w:lang w:val="en-US" w:eastAsia="zh-CN"/>
              </w:rPr>
              <w:t>普通单程票</w:t>
            </w:r>
          </w:p>
        </w:tc>
      </w:tr>
      <w:tr w14:paraId="6679C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BEFD3C0"/>
        </w:tc>
        <w:tc>
          <w:tcPr>
            <w:tcW w:w="5479" w:type="dxa"/>
            <w:shd w:val="clear" w:color="auto" w:fill="FFFFFF" w:themeFill="background1"/>
          </w:tcPr>
          <w:p w14:paraId="43A8B8B8">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②预制单程票。预先充值的单程票，即为一种预赋值的有价证券，它拥有较长的有效期，并且由站务人员进行手工销售。这种票通常也被称为紧急票，紧急票有两种形式：一种是预先对一定数量的车票进行充值，然后由工作人员进行手工销售。这种紧急票的使用方式与普通单程票无异，但因为预先充值，所以在资金和票卡管理方面要求更为严格。另一种形式是将车票编码为应急专用，进站时分发给乘客，乘客出站时根据实际乘坐情况补交票款，这种方式能有效应对大客流时售票能力不足的问题，如图2-8所示。</w:t>
            </w:r>
          </w:p>
          <w:p w14:paraId="5B173AEB">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2149475" cy="1555750"/>
                  <wp:effectExtent l="0" t="0" r="3175" b="6350"/>
                  <wp:docPr id="2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5"/>
                          <pic:cNvPicPr>
                            <a:picLocks noChangeAspect="1"/>
                          </pic:cNvPicPr>
                        </pic:nvPicPr>
                        <pic:blipFill>
                          <a:blip r:embed="rId11"/>
                          <a:stretch>
                            <a:fillRect/>
                          </a:stretch>
                        </pic:blipFill>
                        <pic:spPr>
                          <a:xfrm>
                            <a:off x="0" y="0"/>
                            <a:ext cx="2149475" cy="1555750"/>
                          </a:xfrm>
                          <a:prstGeom prst="rect">
                            <a:avLst/>
                          </a:prstGeom>
                          <a:noFill/>
                          <a:ln>
                            <a:noFill/>
                          </a:ln>
                        </pic:spPr>
                      </pic:pic>
                    </a:graphicData>
                  </a:graphic>
                </wp:inline>
              </w:drawing>
            </w:r>
          </w:p>
        </w:tc>
        <w:tc>
          <w:tcPr>
            <w:tcW w:w="1515" w:type="dxa"/>
            <w:shd w:val="clear" w:color="auto" w:fill="FFFFFF" w:themeFill="background1"/>
            <w:vAlign w:val="center"/>
          </w:tcPr>
          <w:p w14:paraId="4CE8B122">
            <w:pPr>
              <w:rPr>
                <w:rFonts w:ascii="Times New Roman" w:hAnsi="Times New Roman"/>
                <w:sz w:val="24"/>
                <w:szCs w:val="24"/>
              </w:rPr>
            </w:pPr>
            <w:r>
              <w:rPr>
                <w:rFonts w:hint="eastAsia" w:ascii="Times New Roman" w:hAnsi="Times New Roman"/>
                <w:sz w:val="24"/>
                <w:szCs w:val="24"/>
              </w:rPr>
              <w:t>展示图片</w:t>
            </w:r>
          </w:p>
          <w:p w14:paraId="0F28657C">
            <w:r>
              <w:rPr>
                <w:rFonts w:ascii="Times New Roman" w:hAnsi="Times New Roman"/>
                <w:sz w:val="24"/>
                <w:szCs w:val="24"/>
              </w:rPr>
              <w:t>师讲解，学生观</w:t>
            </w:r>
          </w:p>
        </w:tc>
        <w:tc>
          <w:tcPr>
            <w:tcW w:w="1528" w:type="dxa"/>
            <w:gridSpan w:val="2"/>
            <w:shd w:val="clear" w:color="auto" w:fill="FFFFFF" w:themeFill="background1"/>
            <w:vAlign w:val="center"/>
          </w:tcPr>
          <w:p w14:paraId="4D1CD73B">
            <w:r>
              <w:rPr>
                <w:rFonts w:hint="eastAsia" w:ascii="Times New Roman" w:hAnsi="Times New Roman"/>
                <w:sz w:val="24"/>
                <w:szCs w:val="24"/>
              </w:rPr>
              <w:t>使学生充分了解</w:t>
            </w:r>
            <w:r>
              <w:rPr>
                <w:rFonts w:hint="eastAsia" w:ascii="Times New Roman" w:hAnsi="Times New Roman"/>
                <w:sz w:val="24"/>
                <w:szCs w:val="24"/>
                <w:lang w:val="en-US" w:eastAsia="zh-CN"/>
              </w:rPr>
              <w:t>预制单程票</w:t>
            </w:r>
          </w:p>
        </w:tc>
      </w:tr>
      <w:tr w14:paraId="310C1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7CCC00D"/>
        </w:tc>
        <w:tc>
          <w:tcPr>
            <w:tcW w:w="5479" w:type="dxa"/>
            <w:shd w:val="clear" w:color="auto" w:fill="FFFFFF" w:themeFill="background1"/>
          </w:tcPr>
          <w:p w14:paraId="2F0DA8E6">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③优惠票。根据情况给予一定的折扣和优惠的车票，如批量购买、某项活动等，如图2-9所示。</w:t>
            </w:r>
          </w:p>
          <w:p w14:paraId="0D8C281F">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3342005" cy="883920"/>
                  <wp:effectExtent l="0" t="0" r="10795" b="11430"/>
                  <wp:docPr id="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
                          <pic:cNvPicPr>
                            <a:picLocks noChangeAspect="1"/>
                          </pic:cNvPicPr>
                        </pic:nvPicPr>
                        <pic:blipFill>
                          <a:blip r:embed="rId12"/>
                          <a:stretch>
                            <a:fillRect/>
                          </a:stretch>
                        </pic:blipFill>
                        <pic:spPr>
                          <a:xfrm>
                            <a:off x="0" y="0"/>
                            <a:ext cx="3342005" cy="883920"/>
                          </a:xfrm>
                          <a:prstGeom prst="rect">
                            <a:avLst/>
                          </a:prstGeom>
                          <a:noFill/>
                          <a:ln>
                            <a:noFill/>
                          </a:ln>
                        </pic:spPr>
                      </pic:pic>
                    </a:graphicData>
                  </a:graphic>
                </wp:inline>
              </w:drawing>
            </w:r>
          </w:p>
        </w:tc>
        <w:tc>
          <w:tcPr>
            <w:tcW w:w="1515" w:type="dxa"/>
            <w:shd w:val="clear" w:color="auto" w:fill="FFFFFF" w:themeFill="background1"/>
            <w:vAlign w:val="center"/>
          </w:tcPr>
          <w:p w14:paraId="54EBF411">
            <w:pPr>
              <w:rPr>
                <w:rFonts w:ascii="Times New Roman" w:hAnsi="Times New Roman"/>
                <w:sz w:val="24"/>
                <w:szCs w:val="24"/>
              </w:rPr>
            </w:pPr>
            <w:r>
              <w:rPr>
                <w:rFonts w:hint="eastAsia" w:ascii="Times New Roman" w:hAnsi="Times New Roman"/>
                <w:sz w:val="24"/>
                <w:szCs w:val="24"/>
              </w:rPr>
              <w:t>展示图片</w:t>
            </w:r>
          </w:p>
          <w:p w14:paraId="7AFF22F6">
            <w:r>
              <w:rPr>
                <w:rFonts w:ascii="Times New Roman" w:hAnsi="Times New Roman"/>
                <w:sz w:val="24"/>
                <w:szCs w:val="24"/>
              </w:rPr>
              <w:t>师讲解，学生观</w:t>
            </w:r>
          </w:p>
        </w:tc>
        <w:tc>
          <w:tcPr>
            <w:tcW w:w="1528" w:type="dxa"/>
            <w:gridSpan w:val="2"/>
            <w:shd w:val="clear" w:color="auto" w:fill="FFFFFF" w:themeFill="background1"/>
            <w:vAlign w:val="center"/>
          </w:tcPr>
          <w:p w14:paraId="28ED4210">
            <w:r>
              <w:rPr>
                <w:rFonts w:hint="eastAsia" w:ascii="Times New Roman" w:hAnsi="Times New Roman"/>
                <w:sz w:val="24"/>
                <w:szCs w:val="24"/>
              </w:rPr>
              <w:t>使学生充分了解</w:t>
            </w:r>
            <w:r>
              <w:rPr>
                <w:rFonts w:hint="eastAsia" w:ascii="Times New Roman" w:hAnsi="Times New Roman"/>
                <w:sz w:val="24"/>
                <w:szCs w:val="24"/>
                <w:lang w:val="en-US" w:eastAsia="zh-CN"/>
              </w:rPr>
              <w:t>优惠票</w:t>
            </w:r>
          </w:p>
        </w:tc>
      </w:tr>
      <w:tr w14:paraId="1C331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8EC112"/>
        </w:tc>
        <w:tc>
          <w:tcPr>
            <w:tcW w:w="5479" w:type="dxa"/>
            <w:shd w:val="clear" w:color="auto" w:fill="FFFFFF" w:themeFill="background1"/>
          </w:tcPr>
          <w:p w14:paraId="09DC82C2">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④出站票。出站时补票使用，发售当日当站有效、出站回收。</w:t>
            </w:r>
          </w:p>
        </w:tc>
        <w:tc>
          <w:tcPr>
            <w:tcW w:w="1515" w:type="dxa"/>
            <w:shd w:val="clear" w:color="auto" w:fill="FFFFFF" w:themeFill="background1"/>
            <w:vAlign w:val="center"/>
          </w:tcPr>
          <w:p w14:paraId="6B910D70">
            <w:pPr>
              <w:rPr>
                <w:rFonts w:hint="default" w:eastAsia="宋体"/>
                <w:lang w:val="en-US" w:eastAsia="zh-CN"/>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36BD6E09">
            <w:r>
              <w:rPr>
                <w:rFonts w:hint="eastAsia" w:ascii="Times New Roman" w:hAnsi="Times New Roman"/>
                <w:sz w:val="24"/>
                <w:szCs w:val="24"/>
              </w:rPr>
              <w:t>使学生充分了解</w:t>
            </w:r>
            <w:r>
              <w:rPr>
                <w:rFonts w:hint="eastAsia" w:ascii="Times New Roman" w:hAnsi="Times New Roman"/>
                <w:sz w:val="24"/>
                <w:szCs w:val="24"/>
                <w:lang w:val="en-US" w:eastAsia="zh-CN"/>
              </w:rPr>
              <w:t>出站票</w:t>
            </w:r>
          </w:p>
        </w:tc>
      </w:tr>
      <w:tr w14:paraId="766A2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FC2FF9A"/>
        </w:tc>
        <w:tc>
          <w:tcPr>
            <w:tcW w:w="5479" w:type="dxa"/>
            <w:shd w:val="clear" w:color="auto" w:fill="FFFFFF" w:themeFill="background1"/>
          </w:tcPr>
          <w:p w14:paraId="29579E02">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2.储值票</w:t>
            </w:r>
          </w:p>
          <w:p w14:paraId="33E25072">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储值票可反复充值，循环使用，在车票有效期内限单人使用，进站检票，出站扣费，超时出站，根据票务规章规定补交滞留超时费用。储值票有记名储值票和不记名储值票。一般分为以下几种：</w:t>
            </w:r>
          </w:p>
          <w:p w14:paraId="6C0F9FDB">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①普通储值票。它是储值票中使用最多最广泛的一种车票，可以反复充值使用，每次使用根据费率表扣费，如图2-10所示。</w:t>
            </w:r>
          </w:p>
          <w:p w14:paraId="7A71EF69">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2340610" cy="1504315"/>
                  <wp:effectExtent l="0" t="0" r="2540" b="635"/>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13"/>
                          <a:stretch>
                            <a:fillRect/>
                          </a:stretch>
                        </pic:blipFill>
                        <pic:spPr>
                          <a:xfrm>
                            <a:off x="0" y="0"/>
                            <a:ext cx="2340610" cy="1504315"/>
                          </a:xfrm>
                          <a:prstGeom prst="rect">
                            <a:avLst/>
                          </a:prstGeom>
                          <a:noFill/>
                          <a:ln>
                            <a:noFill/>
                          </a:ln>
                        </pic:spPr>
                      </pic:pic>
                    </a:graphicData>
                  </a:graphic>
                </wp:inline>
              </w:drawing>
            </w:r>
          </w:p>
        </w:tc>
        <w:tc>
          <w:tcPr>
            <w:tcW w:w="1515" w:type="dxa"/>
            <w:shd w:val="clear" w:color="auto" w:fill="FFFFFF" w:themeFill="background1"/>
            <w:vAlign w:val="center"/>
          </w:tcPr>
          <w:p w14:paraId="7FFA8407">
            <w:pPr>
              <w:rPr>
                <w:rFonts w:ascii="Times New Roman" w:hAnsi="Times New Roman"/>
                <w:sz w:val="24"/>
                <w:szCs w:val="24"/>
              </w:rPr>
            </w:pPr>
            <w:r>
              <w:rPr>
                <w:rFonts w:hint="eastAsia" w:ascii="Times New Roman" w:hAnsi="Times New Roman"/>
                <w:sz w:val="24"/>
                <w:szCs w:val="24"/>
              </w:rPr>
              <w:t>展示图片</w:t>
            </w:r>
          </w:p>
          <w:p w14:paraId="48A80E88">
            <w:r>
              <w:rPr>
                <w:rFonts w:ascii="Times New Roman" w:hAnsi="Times New Roman"/>
                <w:sz w:val="24"/>
                <w:szCs w:val="24"/>
              </w:rPr>
              <w:t>师讲解，学生观</w:t>
            </w:r>
          </w:p>
        </w:tc>
        <w:tc>
          <w:tcPr>
            <w:tcW w:w="1528" w:type="dxa"/>
            <w:gridSpan w:val="2"/>
            <w:shd w:val="clear" w:color="auto" w:fill="FFFFFF" w:themeFill="background1"/>
            <w:vAlign w:val="center"/>
          </w:tcPr>
          <w:p w14:paraId="72425956">
            <w:r>
              <w:rPr>
                <w:rFonts w:hint="eastAsia" w:ascii="Times New Roman" w:hAnsi="Times New Roman"/>
                <w:sz w:val="24"/>
                <w:szCs w:val="24"/>
              </w:rPr>
              <w:t>使学生充分了解</w:t>
            </w:r>
            <w:r>
              <w:rPr>
                <w:rFonts w:hint="eastAsia" w:ascii="Times New Roman" w:hAnsi="Times New Roman"/>
                <w:sz w:val="24"/>
                <w:szCs w:val="24"/>
                <w:lang w:val="en-US" w:eastAsia="zh-CN"/>
              </w:rPr>
              <w:t>普通储值票</w:t>
            </w:r>
          </w:p>
        </w:tc>
      </w:tr>
      <w:tr w14:paraId="7F71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09786AE"/>
        </w:tc>
        <w:tc>
          <w:tcPr>
            <w:tcW w:w="5479" w:type="dxa"/>
            <w:shd w:val="clear" w:color="auto" w:fill="FFFFFF" w:themeFill="background1"/>
          </w:tcPr>
          <w:p w14:paraId="001ED26E">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②优惠储值票。优惠票是根据条件给予一定的折扣和优惠的车票，如老人票、学生票、老免票等，如图2-11所示。</w:t>
            </w:r>
          </w:p>
          <w:p w14:paraId="29007953">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3336925" cy="958850"/>
                  <wp:effectExtent l="0" t="0" r="15875" b="12700"/>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14"/>
                          <a:stretch>
                            <a:fillRect/>
                          </a:stretch>
                        </pic:blipFill>
                        <pic:spPr>
                          <a:xfrm>
                            <a:off x="0" y="0"/>
                            <a:ext cx="3336925" cy="958850"/>
                          </a:xfrm>
                          <a:prstGeom prst="rect">
                            <a:avLst/>
                          </a:prstGeom>
                          <a:noFill/>
                          <a:ln>
                            <a:noFill/>
                          </a:ln>
                        </pic:spPr>
                      </pic:pic>
                    </a:graphicData>
                  </a:graphic>
                </wp:inline>
              </w:drawing>
            </w:r>
          </w:p>
        </w:tc>
        <w:tc>
          <w:tcPr>
            <w:tcW w:w="1515" w:type="dxa"/>
            <w:shd w:val="clear" w:color="auto" w:fill="FFFFFF" w:themeFill="background1"/>
            <w:vAlign w:val="center"/>
          </w:tcPr>
          <w:p w14:paraId="123B2452">
            <w:r>
              <w:rPr>
                <w:rFonts w:hint="eastAsia" w:ascii="Times New Roman" w:hAnsi="Times New Roman"/>
                <w:sz w:val="24"/>
                <w:szCs w:val="24"/>
              </w:rPr>
              <w:t>邀请学生阅读</w:t>
            </w:r>
          </w:p>
        </w:tc>
        <w:tc>
          <w:tcPr>
            <w:tcW w:w="1528" w:type="dxa"/>
            <w:gridSpan w:val="2"/>
            <w:shd w:val="clear" w:color="auto" w:fill="FFFFFF" w:themeFill="background1"/>
            <w:vAlign w:val="center"/>
          </w:tcPr>
          <w:p w14:paraId="01ED15FD">
            <w:r>
              <w:rPr>
                <w:rFonts w:hint="eastAsia" w:ascii="Times New Roman" w:hAnsi="Times New Roman"/>
                <w:sz w:val="24"/>
                <w:szCs w:val="24"/>
              </w:rPr>
              <w:t>使学生充分了解</w:t>
            </w:r>
            <w:r>
              <w:rPr>
                <w:rFonts w:hint="eastAsia" w:ascii="Times New Roman" w:hAnsi="Times New Roman"/>
                <w:sz w:val="24"/>
                <w:szCs w:val="24"/>
                <w:lang w:val="en-US" w:eastAsia="zh-CN"/>
              </w:rPr>
              <w:t>优惠储值票</w:t>
            </w:r>
          </w:p>
        </w:tc>
      </w:tr>
      <w:tr w14:paraId="1E1AA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7C65E61"/>
        </w:tc>
        <w:tc>
          <w:tcPr>
            <w:tcW w:w="5479" w:type="dxa"/>
            <w:shd w:val="clear" w:color="auto" w:fill="FFFFFF" w:themeFill="background1"/>
          </w:tcPr>
          <w:p w14:paraId="5DD170B5">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③纪念储值票。是指城市轨道交通运营企业在特定时期内发行的具有纪念意义的车票。纪念票是为某种题材专门制作的纪念性票卡，可供收藏，按定价发行，在有效期内使用，不记程，出站不回收，如图2-12所示。</w:t>
            </w:r>
          </w:p>
          <w:p w14:paraId="3C9CBE63">
            <w:pPr>
              <w:pStyle w:val="5"/>
              <w:spacing w:line="360" w:lineRule="auto"/>
              <w:ind w:left="0" w:leftChars="0" w:firstLine="0" w:firstLineChars="0"/>
              <w:rPr>
                <w:rFonts w:hint="eastAsia" w:ascii="Times New Roman" w:hAnsi="Times New Roman"/>
                <w:sz w:val="24"/>
                <w:szCs w:val="24"/>
              </w:rPr>
            </w:pPr>
            <w:r>
              <w:rPr>
                <w:rFonts w:hint="eastAsia" w:ascii="Times New Roman" w:hAnsi="Times New Roman"/>
                <w:sz w:val="24"/>
                <w:szCs w:val="24"/>
              </w:rPr>
              <w:drawing>
                <wp:inline distT="0" distB="0" distL="114300" distR="114300">
                  <wp:extent cx="3338195" cy="1052195"/>
                  <wp:effectExtent l="0" t="0" r="14605" b="14605"/>
                  <wp:docPr id="2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9"/>
                          <pic:cNvPicPr>
                            <a:picLocks noChangeAspect="1"/>
                          </pic:cNvPicPr>
                        </pic:nvPicPr>
                        <pic:blipFill>
                          <a:blip r:embed="rId15"/>
                          <a:stretch>
                            <a:fillRect/>
                          </a:stretch>
                        </pic:blipFill>
                        <pic:spPr>
                          <a:xfrm>
                            <a:off x="0" y="0"/>
                            <a:ext cx="3338195" cy="1052195"/>
                          </a:xfrm>
                          <a:prstGeom prst="rect">
                            <a:avLst/>
                          </a:prstGeom>
                          <a:noFill/>
                          <a:ln>
                            <a:noFill/>
                          </a:ln>
                        </pic:spPr>
                      </pic:pic>
                    </a:graphicData>
                  </a:graphic>
                </wp:inline>
              </w:drawing>
            </w:r>
          </w:p>
        </w:tc>
        <w:tc>
          <w:tcPr>
            <w:tcW w:w="1515" w:type="dxa"/>
            <w:shd w:val="clear" w:color="auto" w:fill="FFFFFF" w:themeFill="background1"/>
            <w:vAlign w:val="center"/>
          </w:tcPr>
          <w:p w14:paraId="6440C011">
            <w:pPr>
              <w:rPr>
                <w:rFonts w:ascii="Times New Roman" w:hAnsi="Times New Roman"/>
                <w:sz w:val="24"/>
                <w:szCs w:val="24"/>
              </w:rPr>
            </w:pPr>
            <w:r>
              <w:rPr>
                <w:rFonts w:hint="eastAsia" w:ascii="Times New Roman" w:hAnsi="Times New Roman"/>
                <w:sz w:val="24"/>
                <w:szCs w:val="24"/>
              </w:rPr>
              <w:t>展示图片</w:t>
            </w:r>
          </w:p>
          <w:p w14:paraId="23153FCB">
            <w:r>
              <w:rPr>
                <w:rFonts w:ascii="Times New Roman" w:hAnsi="Times New Roman"/>
                <w:sz w:val="24"/>
                <w:szCs w:val="24"/>
              </w:rPr>
              <w:t>师讲解，学生观</w:t>
            </w:r>
          </w:p>
        </w:tc>
        <w:tc>
          <w:tcPr>
            <w:tcW w:w="1528" w:type="dxa"/>
            <w:gridSpan w:val="2"/>
            <w:shd w:val="clear" w:color="auto" w:fill="FFFFFF" w:themeFill="background1"/>
            <w:vAlign w:val="center"/>
          </w:tcPr>
          <w:p w14:paraId="013D0CA4">
            <w:r>
              <w:rPr>
                <w:rFonts w:hint="eastAsia" w:ascii="Times New Roman" w:hAnsi="Times New Roman"/>
                <w:sz w:val="24"/>
                <w:szCs w:val="24"/>
              </w:rPr>
              <w:t>使学生充分了解</w:t>
            </w:r>
            <w:r>
              <w:rPr>
                <w:rFonts w:hint="eastAsia" w:ascii="Times New Roman" w:hAnsi="Times New Roman"/>
                <w:sz w:val="24"/>
                <w:szCs w:val="24"/>
                <w:lang w:val="en-US" w:eastAsia="zh-CN"/>
              </w:rPr>
              <w:t>纪念储值票</w:t>
            </w:r>
          </w:p>
        </w:tc>
      </w:tr>
      <w:tr w14:paraId="16389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F21DF6D"/>
        </w:tc>
        <w:tc>
          <w:tcPr>
            <w:tcW w:w="5479" w:type="dxa"/>
            <w:shd w:val="clear" w:color="auto" w:fill="FFFFFF" w:themeFill="background1"/>
          </w:tcPr>
          <w:p w14:paraId="64ED00D9">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3.许可票或特种票</w:t>
            </w:r>
          </w:p>
          <w:p w14:paraId="23D85F43">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特殊票种许可票，与单程票和储值票有所区别，是运营方为了满足特定群体的特殊需求，旨在吸引或便利他们乘坐地铁而特别发行的。这种车票赋予了特定的使用权限，并在一定条件下提供优惠。它涵盖了日票、周票、月票、公务票以及测试票等多种形式。</w:t>
            </w:r>
          </w:p>
          <w:p w14:paraId="3C591C53">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①车站工作票：供轨道交通相关从业人员使用的车票。仅限指定车站使用，不检查进出站次序。</w:t>
            </w:r>
          </w:p>
          <w:p w14:paraId="07BDD919">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②测试票：测试票专用于自动售检票系统的维护与诊断。仅限于设备处于维护模式时，由技术人员进行测试。测试票的功能在于模仿真实车票的操作流程，其使用方式与对应车票无异，但产生的交易记录则与普通票卡不同。（单程测试票会被闸机自动回收，并清除其标志。）</w:t>
            </w:r>
          </w:p>
          <w:p w14:paraId="1C03F300">
            <w:pPr>
              <w:pStyle w:val="5"/>
              <w:spacing w:line="360" w:lineRule="auto"/>
              <w:ind w:firstLine="480"/>
              <w:rPr>
                <w:rFonts w:hint="eastAsia" w:ascii="Times New Roman" w:hAnsi="Times New Roman"/>
                <w:sz w:val="24"/>
                <w:szCs w:val="24"/>
              </w:rPr>
            </w:pPr>
            <w:r>
              <w:rPr>
                <w:rFonts w:hint="eastAsia" w:ascii="Times New Roman" w:hAnsi="Times New Roman"/>
                <w:sz w:val="24"/>
                <w:szCs w:val="24"/>
                <w:lang w:val="en-US" w:eastAsia="zh-CN"/>
              </w:rPr>
              <w:t>③员工票。城市轨道交通运营企业的员工票卡，专为内部员工记名使用，仅限本人乘坐。此票卡与储值票相似，但在通过城市轨道交通检票设备时，提供了更多选择。例如，可以通过AFC中心系统设定为扣费、计次或无交易记录的方式。员工票卡还具备特定权限和相应的内部管理功能。</w:t>
            </w:r>
          </w:p>
        </w:tc>
        <w:tc>
          <w:tcPr>
            <w:tcW w:w="1515" w:type="dxa"/>
            <w:shd w:val="clear" w:color="auto" w:fill="FFFFFF" w:themeFill="background1"/>
            <w:vAlign w:val="center"/>
          </w:tcPr>
          <w:p w14:paraId="096439C3">
            <w:pPr>
              <w:rPr>
                <w:rFonts w:hint="default" w:eastAsia="宋体"/>
                <w:lang w:val="en-US" w:eastAsia="zh-CN"/>
              </w:rPr>
            </w:pPr>
            <w:r>
              <w:rPr>
                <w:rFonts w:hint="eastAsia" w:ascii="Times New Roman" w:hAnsi="Times New Roman"/>
                <w:sz w:val="24"/>
                <w:szCs w:val="24"/>
                <w:lang w:val="en-US" w:eastAsia="zh-CN"/>
              </w:rPr>
              <w:t>展示相关图片，邀请学生阅读，学生积极参与</w:t>
            </w:r>
          </w:p>
        </w:tc>
        <w:tc>
          <w:tcPr>
            <w:tcW w:w="1528" w:type="dxa"/>
            <w:gridSpan w:val="2"/>
            <w:shd w:val="clear" w:color="auto" w:fill="FFFFFF" w:themeFill="background1"/>
            <w:vAlign w:val="center"/>
          </w:tcPr>
          <w:p w14:paraId="65089B3F">
            <w:r>
              <w:rPr>
                <w:rFonts w:hint="eastAsia" w:ascii="Times New Roman" w:hAnsi="Times New Roman"/>
                <w:sz w:val="24"/>
                <w:szCs w:val="24"/>
              </w:rPr>
              <w:t>使学生充分了解</w:t>
            </w:r>
            <w:r>
              <w:rPr>
                <w:rFonts w:hint="eastAsia" w:ascii="Times New Roman" w:hAnsi="Times New Roman"/>
                <w:sz w:val="24"/>
                <w:szCs w:val="24"/>
                <w:lang w:val="en-US" w:eastAsia="zh-CN"/>
              </w:rPr>
              <w:t>许可票或特种票</w:t>
            </w:r>
          </w:p>
        </w:tc>
      </w:tr>
      <w:tr w14:paraId="4C521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56F3C0C8">
            <w:r>
              <w:rPr>
                <w:rFonts w:ascii="宋体" w:cs="宋体"/>
                <w:b/>
                <w:sz w:val="28"/>
              </w:rPr>
              <w:t>作业布置</w:t>
            </w:r>
          </w:p>
        </w:tc>
        <w:tc>
          <w:tcPr>
            <w:tcW w:w="8522" w:type="dxa"/>
            <w:gridSpan w:val="4"/>
            <w:shd w:val="clear" w:color="000000" w:fill="FFFFFF"/>
            <w:vAlign w:val="center"/>
          </w:tcPr>
          <w:p w14:paraId="6037A7D9">
            <w:pPr>
              <w:spacing w:line="379" w:lineRule="auto"/>
              <w:ind w:right="480"/>
              <w:rPr>
                <w:rFonts w:ascii="宋体" w:cs="宋体"/>
                <w:sz w:val="24"/>
                <w:szCs w:val="24"/>
              </w:rPr>
            </w:pPr>
            <w:r>
              <w:rPr>
                <w:rFonts w:hint="eastAsia" w:ascii="宋体" w:cs="宋体"/>
                <w:sz w:val="24"/>
                <w:szCs w:val="24"/>
              </w:rPr>
              <w:t>请同学们完成思考与练习。</w:t>
            </w:r>
          </w:p>
          <w:p w14:paraId="522F1EF3">
            <w:pPr>
              <w:spacing w:line="379" w:lineRule="auto"/>
              <w:ind w:right="480"/>
              <w:rPr>
                <w:rFonts w:ascii="宋体" w:cs="宋体"/>
                <w:sz w:val="24"/>
                <w:szCs w:val="24"/>
              </w:rPr>
            </w:pPr>
            <w:r>
              <w:rPr>
                <w:rFonts w:ascii="宋体" w:cs="宋体"/>
                <w:sz w:val="24"/>
                <w:szCs w:val="24"/>
              </w:rPr>
              <w:t>（一）判断题</w:t>
            </w:r>
          </w:p>
          <w:p w14:paraId="6F845F9A">
            <w:pPr>
              <w:spacing w:line="379" w:lineRule="auto"/>
              <w:ind w:right="480"/>
              <w:rPr>
                <w:rFonts w:hint="eastAsia" w:ascii="宋体" w:hAnsi="宋体" w:cs="宋体"/>
                <w:sz w:val="24"/>
                <w:szCs w:val="24"/>
              </w:rPr>
            </w:pPr>
            <w:r>
              <w:rPr>
                <w:rFonts w:hint="eastAsia" w:ascii="宋体" w:hAnsi="宋体" w:cs="宋体"/>
                <w:sz w:val="24"/>
                <w:szCs w:val="24"/>
                <w:lang w:val="en-US" w:eastAsia="zh-CN"/>
              </w:rPr>
              <w:t>1.票卡是乘客使用的车票，用于记载乘客出行和费用信息，是乘坐轨道交通的有效凭证。票卡记载了乘客从购票开始，到完成一次旅行所需要的费用、乘车时间和乘车区间等信息。</w:t>
            </w:r>
          </w:p>
          <w:p w14:paraId="3649F871">
            <w:pPr>
              <w:spacing w:line="379" w:lineRule="auto"/>
              <w:ind w:right="480"/>
              <w:rPr>
                <w:rFonts w:hint="eastAsia" w:ascii="宋体" w:hAnsi="宋体" w:cs="宋体"/>
                <w:sz w:val="24"/>
                <w:szCs w:val="24"/>
              </w:rPr>
            </w:pPr>
            <w:r>
              <w:rPr>
                <w:rFonts w:hint="eastAsia" w:ascii="宋体" w:hAnsi="宋体" w:cs="宋体"/>
                <w:sz w:val="24"/>
                <w:szCs w:val="24"/>
                <w:lang w:val="en-US" w:eastAsia="zh-CN"/>
              </w:rPr>
              <w:t>2.目前常见的票卡媒介有三种：纸质车票、磁卡车票、智能卡车票。</w:t>
            </w:r>
          </w:p>
          <w:p w14:paraId="44532F93">
            <w:pPr>
              <w:spacing w:line="379" w:lineRule="auto"/>
              <w:ind w:right="480"/>
              <w:rPr>
                <w:rFonts w:hint="eastAsia" w:ascii="宋体" w:hAnsi="宋体" w:cs="宋体"/>
                <w:sz w:val="24"/>
                <w:szCs w:val="24"/>
              </w:rPr>
            </w:pPr>
            <w:r>
              <w:rPr>
                <w:rFonts w:hint="eastAsia" w:ascii="宋体" w:hAnsi="宋体" w:cs="宋体"/>
                <w:sz w:val="24"/>
                <w:szCs w:val="24"/>
                <w:lang w:val="en-US" w:eastAsia="zh-CN"/>
              </w:rPr>
              <w:t>3.条形码车票在使用过程中不能进行信息写入，信息写入是一次性的，使用过程中可以读取。因此条形码车票也是一次性车票，不可重复使用。条形码纸票在城市轨道交通中的应用主要在早期，并采用人工售票、机器识读的方式。</w:t>
            </w:r>
          </w:p>
          <w:p w14:paraId="67BC31B2">
            <w:pPr>
              <w:spacing w:line="379" w:lineRule="auto"/>
              <w:ind w:right="480"/>
              <w:rPr>
                <w:rFonts w:hint="eastAsia" w:ascii="宋体" w:hAnsi="宋体" w:cs="宋体"/>
                <w:sz w:val="24"/>
                <w:szCs w:val="24"/>
              </w:rPr>
            </w:pPr>
            <w:r>
              <w:rPr>
                <w:rFonts w:hint="eastAsia" w:ascii="宋体" w:hAnsi="宋体" w:cs="宋体"/>
                <w:sz w:val="24"/>
                <w:szCs w:val="24"/>
                <w:lang w:val="en-US" w:eastAsia="zh-CN"/>
              </w:rPr>
              <w:t>4.智能IC卡（Integrated Circuit Card）又称为集成电路卡或者智能卡，是将车票所有信息储存在一个专用的集成电路芯片中，由智能卡读写设备获取相关信息，信息存储量大、可修改，且安全等级高。</w:t>
            </w:r>
          </w:p>
          <w:p w14:paraId="67618279">
            <w:pPr>
              <w:spacing w:line="379" w:lineRule="auto"/>
              <w:ind w:right="480"/>
              <w:rPr>
                <w:rFonts w:hint="eastAsia" w:ascii="宋体" w:hAnsi="宋体" w:cs="宋体"/>
                <w:sz w:val="24"/>
                <w:szCs w:val="24"/>
              </w:rPr>
            </w:pPr>
            <w:r>
              <w:rPr>
                <w:rFonts w:hint="eastAsia" w:ascii="宋体" w:hAnsi="宋体" w:cs="宋体"/>
                <w:sz w:val="24"/>
                <w:szCs w:val="24"/>
                <w:lang w:val="en-US" w:eastAsia="zh-CN"/>
              </w:rPr>
              <w:t>5.城市轨道交通票卡按使用性质不同，通常可分为单程票、储值票、许可票（或特种票）三大类。</w:t>
            </w:r>
          </w:p>
          <w:p w14:paraId="111C1D49">
            <w:pPr>
              <w:spacing w:line="379" w:lineRule="auto"/>
              <w:ind w:right="480"/>
              <w:rPr>
                <w:rFonts w:hint="eastAsia" w:ascii="宋体" w:hAnsi="宋体" w:cs="宋体"/>
                <w:sz w:val="24"/>
                <w:szCs w:val="24"/>
              </w:rPr>
            </w:pPr>
            <w:r>
              <w:rPr>
                <w:rFonts w:hint="eastAsia" w:ascii="宋体" w:hAnsi="宋体" w:cs="宋体"/>
                <w:sz w:val="24"/>
                <w:szCs w:val="24"/>
              </w:rPr>
              <w:t>（二）简答题</w:t>
            </w:r>
          </w:p>
          <w:p w14:paraId="44506044">
            <w:pPr>
              <w:spacing w:line="379" w:lineRule="auto"/>
              <w:ind w:right="480"/>
              <w:rPr>
                <w:rFonts w:ascii="宋体" w:cs="宋体"/>
                <w:sz w:val="24"/>
                <w:szCs w:val="24"/>
              </w:rPr>
            </w:pPr>
            <w:r>
              <w:rPr>
                <w:rFonts w:ascii="宋体" w:cs="宋体"/>
                <w:sz w:val="24"/>
                <w:szCs w:val="24"/>
                <w:lang w:val="en-US" w:eastAsia="zh-CN"/>
              </w:rPr>
              <w:t>1.简述票卡的三种分类方式及各分类下的票卡种类。</w:t>
            </w:r>
          </w:p>
          <w:p w14:paraId="474C11C2">
            <w:pPr>
              <w:spacing w:line="379" w:lineRule="auto"/>
              <w:ind w:right="480"/>
              <w:rPr>
                <w:rFonts w:ascii="宋体" w:cs="宋体"/>
                <w:sz w:val="24"/>
                <w:szCs w:val="24"/>
              </w:rPr>
            </w:pPr>
            <w:r>
              <w:rPr>
                <w:rFonts w:hint="default" w:ascii="宋体" w:cs="宋体"/>
                <w:sz w:val="24"/>
                <w:szCs w:val="24"/>
                <w:lang w:val="en-US" w:eastAsia="zh-CN"/>
              </w:rPr>
              <w:t>2.简述城市轨道交通系统中，纸票被磁卡替代及磁卡被智能卡替代的原因。</w:t>
            </w:r>
          </w:p>
        </w:tc>
      </w:tr>
      <w:tr w14:paraId="3B099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05937F3D">
            <w:r>
              <w:rPr>
                <w:rFonts w:hint="eastAsia" w:ascii="宋体" w:cs="宋体"/>
                <w:b/>
                <w:sz w:val="28"/>
              </w:rPr>
              <w:t>板书设计</w:t>
            </w:r>
          </w:p>
        </w:tc>
        <w:tc>
          <w:tcPr>
            <w:tcW w:w="8522" w:type="dxa"/>
            <w:gridSpan w:val="4"/>
            <w:shd w:val="clear" w:color="000000" w:fill="FFFFFF"/>
          </w:tcPr>
          <w:p w14:paraId="0684F94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szCs w:val="24"/>
              </w:rPr>
            </w:pPr>
            <w:r>
              <w:rPr>
                <w:rFonts w:hint="eastAsia" w:ascii="Times New Roman" w:hAnsi="Times New Roman"/>
                <w:sz w:val="24"/>
                <w:szCs w:val="24"/>
              </w:rPr>
              <w:t>模块</w:t>
            </w:r>
            <w:r>
              <w:rPr>
                <w:rFonts w:hint="eastAsia" w:ascii="Times New Roman" w:hAnsi="Times New Roman"/>
                <w:sz w:val="24"/>
                <w:szCs w:val="24"/>
                <w:lang w:val="en-US" w:eastAsia="zh-CN"/>
              </w:rPr>
              <w:t xml:space="preserve">二  </w:t>
            </w:r>
            <w:r>
              <w:rPr>
                <w:rFonts w:hint="eastAsia" w:ascii="Times New Roman" w:hAnsi="Times New Roman"/>
                <w:sz w:val="24"/>
                <w:szCs w:val="24"/>
              </w:rPr>
              <w:t>课题一</w:t>
            </w:r>
            <w:r>
              <w:rPr>
                <w:rFonts w:hint="eastAsia" w:ascii="Times New Roman" w:hAnsi="Times New Roman"/>
                <w:sz w:val="24"/>
                <w:szCs w:val="24"/>
                <w:lang w:val="en-US" w:eastAsia="zh-CN"/>
              </w:rPr>
              <w:t xml:space="preserve">  </w:t>
            </w:r>
            <w:r>
              <w:rPr>
                <w:rFonts w:hint="eastAsia" w:ascii="Times New Roman" w:hAnsi="Times New Roman"/>
                <w:sz w:val="24"/>
                <w:szCs w:val="24"/>
              </w:rPr>
              <w:t>城市轨道交通票卡媒介</w:t>
            </w:r>
          </w:p>
          <w:p w14:paraId="365C5337">
            <w:pPr>
              <w:keepNext w:val="0"/>
              <w:keepLines w:val="0"/>
              <w:pageBreakBefore w:val="0"/>
              <w:widowControl w:val="0"/>
              <w:kinsoku/>
              <w:wordWrap/>
              <w:overflowPunct/>
              <w:topLinePunct w:val="0"/>
              <w:autoSpaceDE/>
              <w:autoSpaceDN/>
              <w:bidi w:val="0"/>
              <w:adjustRightInd/>
              <w:snapToGrid/>
              <w:spacing w:line="360" w:lineRule="auto"/>
              <w:textAlignment w:val="auto"/>
              <w:rPr>
                <w:rFonts w:cs="Calibri"/>
                <w:sz w:val="24"/>
              </w:rPr>
            </w:pPr>
            <w:r>
              <w:rPr>
                <w:rFonts w:hint="eastAsia" w:ascii="宋体" w:hAnsi="宋体" w:cs="宋体"/>
                <w:sz w:val="24"/>
                <w:szCs w:val="24"/>
              </w:rPr>
              <w:t>（一）按票卡媒介分类</w:t>
            </w:r>
          </w:p>
          <w:p w14:paraId="0EF13BD3">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纸质车票</w:t>
            </w:r>
          </w:p>
          <w:p w14:paraId="23D997AF">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eastAsia="zh-CN"/>
              </w:rPr>
              <w:t>（</w:t>
            </w:r>
            <w:r>
              <w:rPr>
                <w:rFonts w:hint="eastAsia" w:ascii="Times New Roman" w:hAnsi="Times New Roman"/>
                <w:sz w:val="24"/>
                <w:szCs w:val="24"/>
                <w:lang w:val="en-US" w:eastAsia="zh-CN"/>
              </w:rPr>
              <w:t>1</w:t>
            </w:r>
            <w:r>
              <w:rPr>
                <w:rFonts w:hint="eastAsia" w:ascii="Times New Roman" w:hAnsi="Times New Roman"/>
                <w:sz w:val="24"/>
                <w:szCs w:val="24"/>
                <w:lang w:eastAsia="zh-CN"/>
              </w:rPr>
              <w:t>）</w:t>
            </w:r>
            <w:r>
              <w:rPr>
                <w:rFonts w:hint="eastAsia" w:ascii="Times New Roman" w:hAnsi="Times New Roman"/>
                <w:sz w:val="24"/>
                <w:szCs w:val="24"/>
                <w:lang w:val="en-US" w:eastAsia="zh-CN"/>
              </w:rPr>
              <w:t>普通纸票</w:t>
            </w:r>
          </w:p>
          <w:p w14:paraId="7A9DA63A">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（2）条形码纸票</w:t>
            </w:r>
          </w:p>
          <w:p w14:paraId="5790D522">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ascii="Times New Roman" w:hAnsi="Times New Roman"/>
                <w:sz w:val="24"/>
                <w:szCs w:val="24"/>
              </w:rPr>
              <w:t>2.</w:t>
            </w:r>
            <w:r>
              <w:rPr>
                <w:rFonts w:hint="eastAsia" w:ascii="Times New Roman" w:hAnsi="Times New Roman"/>
                <w:sz w:val="24"/>
                <w:szCs w:val="24"/>
                <w:lang w:val="en-US" w:eastAsia="zh-CN"/>
              </w:rPr>
              <w:t>磁卡车票</w:t>
            </w:r>
          </w:p>
          <w:p w14:paraId="27E6298F">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（1）磁卡的构成</w:t>
            </w:r>
          </w:p>
          <w:p w14:paraId="149389FC">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（2）磁卡的特定</w:t>
            </w:r>
          </w:p>
          <w:p w14:paraId="1196E12A">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ascii="Times New Roman" w:hAnsi="Times New Roman"/>
                <w:sz w:val="24"/>
                <w:szCs w:val="24"/>
              </w:rPr>
              <w:t>3.</w:t>
            </w:r>
            <w:r>
              <w:rPr>
                <w:rFonts w:hint="eastAsia" w:ascii="Times New Roman" w:hAnsi="Times New Roman"/>
                <w:sz w:val="24"/>
                <w:szCs w:val="24"/>
                <w:lang w:val="en-US" w:eastAsia="zh-CN"/>
              </w:rPr>
              <w:t>智能车票</w:t>
            </w:r>
          </w:p>
          <w:p w14:paraId="1F13BEF0">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（1）按外形不同</w:t>
            </w:r>
          </w:p>
          <w:p w14:paraId="60AC5BBA">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（2）按读写方式不同</w:t>
            </w:r>
          </w:p>
          <w:p w14:paraId="6448C493">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eastAsia="宋体" w:cs="Calibri"/>
                <w:sz w:val="24"/>
                <w:lang w:val="en-US" w:eastAsia="zh-CN"/>
              </w:rPr>
            </w:pPr>
            <w:r>
              <w:rPr>
                <w:rFonts w:hint="eastAsia" w:ascii="Times New Roman" w:hAnsi="Times New Roman"/>
                <w:sz w:val="24"/>
                <w:szCs w:val="24"/>
              </w:rPr>
              <w:t>（二）</w:t>
            </w:r>
            <w:r>
              <w:rPr>
                <w:rFonts w:hint="eastAsia" w:ascii="Times New Roman" w:hAnsi="Times New Roman"/>
                <w:sz w:val="24"/>
                <w:szCs w:val="24"/>
                <w:lang w:val="en-US" w:eastAsia="zh-CN"/>
              </w:rPr>
              <w:t>按使用性质分类</w:t>
            </w:r>
          </w:p>
          <w:p w14:paraId="56AA1DB5">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rPr>
              <w:t>1.</w:t>
            </w:r>
            <w:r>
              <w:rPr>
                <w:rFonts w:hint="eastAsia" w:ascii="Times New Roman" w:hAnsi="Times New Roman"/>
                <w:sz w:val="24"/>
                <w:szCs w:val="24"/>
                <w:lang w:val="en-US" w:eastAsia="zh-CN"/>
              </w:rPr>
              <w:t>单程票</w:t>
            </w:r>
          </w:p>
          <w:p w14:paraId="62EC5590">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（1）普通单程票</w:t>
            </w:r>
          </w:p>
          <w:p w14:paraId="3ADA1BF0">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（2）预制单程票</w:t>
            </w:r>
          </w:p>
          <w:p w14:paraId="04D36952">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（3）优惠票</w:t>
            </w:r>
          </w:p>
          <w:p w14:paraId="790C2074">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（4）出站票</w:t>
            </w:r>
          </w:p>
          <w:p w14:paraId="57428E95">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rPr>
              <w:t>2.</w:t>
            </w:r>
            <w:r>
              <w:rPr>
                <w:rFonts w:hint="eastAsia" w:ascii="Times New Roman" w:hAnsi="Times New Roman"/>
                <w:sz w:val="24"/>
                <w:szCs w:val="24"/>
                <w:lang w:val="en-US" w:eastAsia="zh-CN"/>
              </w:rPr>
              <w:t>储值票</w:t>
            </w:r>
          </w:p>
          <w:p w14:paraId="0286E9A2">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（1）普通储值票</w:t>
            </w:r>
          </w:p>
          <w:p w14:paraId="19E685EC">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（2）优惠储值票</w:t>
            </w:r>
          </w:p>
          <w:p w14:paraId="34612684">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（3）纪念储值票</w:t>
            </w:r>
          </w:p>
          <w:p w14:paraId="124C66CF">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rPr>
            </w:pPr>
            <w:r>
              <w:rPr>
                <w:rFonts w:hint="eastAsia" w:ascii="Times New Roman" w:hAnsi="Times New Roman"/>
                <w:sz w:val="24"/>
                <w:szCs w:val="24"/>
              </w:rPr>
              <w:t>3.许可票或特种票</w:t>
            </w:r>
          </w:p>
          <w:p w14:paraId="5C968DB1">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eastAsia="zh-CN"/>
              </w:rPr>
              <w:t>（</w:t>
            </w:r>
            <w:r>
              <w:rPr>
                <w:rFonts w:hint="eastAsia" w:ascii="Times New Roman" w:hAnsi="Times New Roman"/>
                <w:sz w:val="24"/>
                <w:szCs w:val="24"/>
                <w:lang w:val="en-US" w:eastAsia="zh-CN"/>
              </w:rPr>
              <w:t>1</w:t>
            </w:r>
            <w:r>
              <w:rPr>
                <w:rFonts w:hint="eastAsia" w:ascii="Times New Roman" w:hAnsi="Times New Roman"/>
                <w:sz w:val="24"/>
                <w:szCs w:val="24"/>
                <w:lang w:eastAsia="zh-CN"/>
              </w:rPr>
              <w:t>）</w:t>
            </w:r>
            <w:r>
              <w:rPr>
                <w:rFonts w:hint="eastAsia" w:ascii="Times New Roman" w:hAnsi="Times New Roman"/>
                <w:sz w:val="24"/>
                <w:szCs w:val="24"/>
                <w:lang w:val="en-US" w:eastAsia="zh-CN"/>
              </w:rPr>
              <w:t>车站工作票</w:t>
            </w:r>
          </w:p>
          <w:p w14:paraId="79F57E76">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eastAsia="zh-CN"/>
              </w:rPr>
              <w:t>（</w:t>
            </w:r>
            <w:r>
              <w:rPr>
                <w:rFonts w:hint="eastAsia" w:ascii="Times New Roman" w:hAnsi="Times New Roman"/>
                <w:sz w:val="24"/>
                <w:szCs w:val="24"/>
                <w:lang w:val="en-US" w:eastAsia="zh-CN"/>
              </w:rPr>
              <w:t>2</w:t>
            </w:r>
            <w:r>
              <w:rPr>
                <w:rFonts w:hint="eastAsia" w:ascii="Times New Roman" w:hAnsi="Times New Roman"/>
                <w:sz w:val="24"/>
                <w:szCs w:val="24"/>
                <w:lang w:eastAsia="zh-CN"/>
              </w:rPr>
              <w:t>）</w:t>
            </w:r>
            <w:r>
              <w:rPr>
                <w:rFonts w:hint="eastAsia" w:ascii="Times New Roman" w:hAnsi="Times New Roman"/>
                <w:sz w:val="24"/>
                <w:szCs w:val="24"/>
                <w:lang w:val="en-US" w:eastAsia="zh-CN"/>
              </w:rPr>
              <w:t>测试票</w:t>
            </w:r>
          </w:p>
          <w:p w14:paraId="0753F5CE">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eastAsia="宋体" w:cs="Calibri"/>
                <w:sz w:val="24"/>
                <w:lang w:val="en-US" w:eastAsia="zh-CN"/>
              </w:rPr>
            </w:pPr>
            <w:r>
              <w:rPr>
                <w:rFonts w:hint="eastAsia" w:ascii="Times New Roman" w:hAnsi="Times New Roman"/>
                <w:sz w:val="24"/>
                <w:szCs w:val="24"/>
                <w:lang w:eastAsia="zh-CN"/>
              </w:rPr>
              <w:t>（</w:t>
            </w:r>
            <w:r>
              <w:rPr>
                <w:rFonts w:hint="eastAsia" w:ascii="Times New Roman" w:hAnsi="Times New Roman"/>
                <w:sz w:val="24"/>
                <w:szCs w:val="24"/>
                <w:lang w:val="en-US" w:eastAsia="zh-CN"/>
              </w:rPr>
              <w:t>3</w:t>
            </w:r>
            <w:r>
              <w:rPr>
                <w:rFonts w:hint="eastAsia" w:ascii="Times New Roman" w:hAnsi="Times New Roman"/>
                <w:sz w:val="24"/>
                <w:szCs w:val="24"/>
                <w:lang w:eastAsia="zh-CN"/>
              </w:rPr>
              <w:t>）</w:t>
            </w:r>
            <w:r>
              <w:rPr>
                <w:rFonts w:hint="eastAsia" w:ascii="Times New Roman" w:hAnsi="Times New Roman"/>
                <w:sz w:val="24"/>
                <w:szCs w:val="24"/>
                <w:lang w:val="en-US" w:eastAsia="zh-CN"/>
              </w:rPr>
              <w:t>员工票</w:t>
            </w:r>
          </w:p>
        </w:tc>
      </w:tr>
      <w:tr w14:paraId="1D6B3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79CF90F2">
            <w:r>
              <w:rPr>
                <w:rFonts w:ascii="宋体" w:cs="宋体"/>
                <w:b/>
                <w:sz w:val="28"/>
              </w:rPr>
              <w:t>教学反思</w:t>
            </w:r>
            <w:r>
              <w:rPr>
                <w:rFonts w:hint="eastAsia" w:ascii="宋体" w:cs="宋体"/>
                <w:b/>
                <w:sz w:val="28"/>
              </w:rPr>
              <w:t>（</w:t>
            </w:r>
            <w:r>
              <w:rPr>
                <w:rFonts w:hint="eastAsia" w:ascii="宋体" w:cs="宋体"/>
                <w:b/>
                <w:color w:val="FF0000"/>
                <w:sz w:val="28"/>
              </w:rPr>
              <w:t>手写</w:t>
            </w:r>
            <w:r>
              <w:rPr>
                <w:rFonts w:hint="eastAsia" w:ascii="宋体" w:cs="宋体"/>
                <w:b/>
                <w:sz w:val="28"/>
              </w:rPr>
              <w:t>）</w:t>
            </w:r>
          </w:p>
        </w:tc>
        <w:tc>
          <w:tcPr>
            <w:tcW w:w="8522" w:type="dxa"/>
            <w:gridSpan w:val="4"/>
            <w:shd w:val="clear" w:color="auto" w:fill="FFFFFF" w:themeFill="background1"/>
          </w:tcPr>
          <w:p w14:paraId="2AF894A4"/>
        </w:tc>
      </w:tr>
    </w:tbl>
    <w:p w14:paraId="6AE53498"/>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C1B4A85"/>
    <w:rsid w:val="001F78C2"/>
    <w:rsid w:val="00C435AA"/>
    <w:rsid w:val="00F52B12"/>
    <w:rsid w:val="069114AA"/>
    <w:rsid w:val="1B2D34E6"/>
    <w:rsid w:val="1C1B4A85"/>
    <w:rsid w:val="26B60169"/>
    <w:rsid w:val="2935110A"/>
    <w:rsid w:val="308A799E"/>
    <w:rsid w:val="33396D97"/>
    <w:rsid w:val="34F47329"/>
    <w:rsid w:val="5F9726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4466</Words>
  <Characters>4579</Characters>
  <Lines>66</Lines>
  <Paragraphs>18</Paragraphs>
  <TotalTime>0</TotalTime>
  <ScaleCrop>false</ScaleCrop>
  <LinksUpToDate>false</LinksUpToDate>
  <CharactersWithSpaces>4589</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2025-05-07T10:12:00Z</dcterms:created>
  <dc:creator>TREASURE</dc:creator>
  <cp:lastModifiedBy>TREASURE</cp:lastModifiedBy>
  <dcterms:modified xsi:type="dcterms:W3CDTF">2025-05-09T06:17:01Z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F884FB7A7B7340A586722D40DFBDEA91_13</vt:lpwstr>
  </property>
  <property fmtid="{D5CDD505-2E9C-101B-9397-08002B2CF9AE}" pid="4" name="KSOTemplateDocerSaveRecord">
    <vt:lpwstr>eyJoZGlkIjoiMjNjZjU1MDBkNjRkNjMxZTZhZDVjMzc0NWEyZDI1OGUiLCJ1c2VySWQiOiI5MzI1MjI1NzkifQ==</vt:lpwstr>
  </property>
</Properties>
</file>