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9F79E15">
      <w:pPr>
        <w:jc w:val="center"/>
        <w:rPr>
          <w:rFonts w:eastAsia="Calibri" w:cs="Calibri"/>
          <w:b/>
          <w:color w:val="FF0000"/>
          <w:sz w:val="28"/>
        </w:rPr>
      </w:pPr>
      <w:r>
        <w:rPr>
          <w:rFonts w:ascii="宋体" w:cs="宋体"/>
          <w:b/>
          <w:sz w:val="36"/>
        </w:rPr>
        <w:t>重庆市两江职业教育中心</w:t>
      </w:r>
      <w:r>
        <w:rPr>
          <w:rFonts w:hint="eastAsia" w:ascii="宋体" w:cs="宋体"/>
          <w:b/>
          <w:sz w:val="36"/>
        </w:rPr>
        <w:t>教学</w:t>
      </w:r>
      <w:r>
        <w:rPr>
          <w:rFonts w:ascii="宋体" w:cs="宋体"/>
          <w:b/>
          <w:sz w:val="36"/>
        </w:rPr>
        <w:t>教案</w:t>
      </w:r>
    </w:p>
    <w:tbl>
      <w:tblPr>
        <w:tblStyle w:val="2"/>
        <w:tblW w:w="10020" w:type="dxa"/>
        <w:tblInd w:w="0" w:type="dxa"/>
        <w:tblLayout w:type="fixed"/>
        <w:tblCellMar>
          <w:top w:w="0" w:type="dxa"/>
          <w:left w:w="10" w:type="dxa"/>
          <w:bottom w:w="0" w:type="dxa"/>
          <w:right w:w="10" w:type="dxa"/>
        </w:tblCellMar>
      </w:tblPr>
      <w:tblGrid>
        <w:gridCol w:w="1520"/>
        <w:gridCol w:w="1967"/>
        <w:gridCol w:w="1050"/>
        <w:gridCol w:w="2452"/>
        <w:gridCol w:w="836"/>
        <w:gridCol w:w="2195"/>
      </w:tblGrid>
      <w:tr w14:paraId="505C3CCE">
        <w:tblPrEx>
          <w:tblCellMar>
            <w:top w:w="0" w:type="dxa"/>
            <w:left w:w="10" w:type="dxa"/>
            <w:bottom w:w="0" w:type="dxa"/>
            <w:right w:w="10" w:type="dxa"/>
          </w:tblCellMar>
        </w:tblPrEx>
        <w:trPr>
          <w:trHeight w:val="927"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B7840D3">
            <w:pPr>
              <w:jc w:val="center"/>
              <w:rPr>
                <w:b/>
              </w:rPr>
            </w:pPr>
            <w:r>
              <w:rPr>
                <w:rFonts w:ascii="宋体" w:cs="宋体"/>
                <w:b/>
                <w:sz w:val="28"/>
              </w:rPr>
              <w:t>课题</w:t>
            </w:r>
          </w:p>
        </w:tc>
        <w:tc>
          <w:tcPr>
            <w:tcW w:w="196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F5BDD81">
            <w:pPr>
              <w:jc w:val="center"/>
            </w:pPr>
            <w:r>
              <w:rPr>
                <w:rFonts w:hint="eastAsia" w:ascii="Times New Roman" w:hAnsi="Times New Roman"/>
                <w:sz w:val="24"/>
                <w:szCs w:val="24"/>
                <w:lang w:val="en-US" w:eastAsia="zh-CN"/>
              </w:rPr>
              <w:t>现金</w:t>
            </w:r>
            <w:r>
              <w:rPr>
                <w:rFonts w:hint="eastAsia" w:ascii="Times New Roman" w:hAnsi="Times New Roman"/>
                <w:sz w:val="24"/>
                <w:szCs w:val="24"/>
              </w:rPr>
              <w:t>管理</w:t>
            </w:r>
          </w:p>
        </w:tc>
        <w:tc>
          <w:tcPr>
            <w:tcW w:w="105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124D8BA3">
            <w:pPr>
              <w:jc w:val="center"/>
              <w:rPr>
                <w:b/>
              </w:rPr>
            </w:pPr>
            <w:r>
              <w:rPr>
                <w:rFonts w:ascii="宋体" w:cs="宋体"/>
                <w:b/>
                <w:sz w:val="28"/>
              </w:rPr>
              <w:t>班级</w:t>
            </w:r>
          </w:p>
        </w:tc>
        <w:tc>
          <w:tcPr>
            <w:tcW w:w="245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3F2A3A9"/>
        </w:tc>
        <w:tc>
          <w:tcPr>
            <w:tcW w:w="83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E7D741E">
            <w:pPr>
              <w:jc w:val="center"/>
              <w:rPr>
                <w:b/>
              </w:rPr>
            </w:pPr>
            <w:r>
              <w:rPr>
                <w:rFonts w:ascii="宋体" w:cs="宋体"/>
                <w:b/>
                <w:sz w:val="28"/>
              </w:rPr>
              <w:t>教师</w:t>
            </w:r>
          </w:p>
        </w:tc>
        <w:tc>
          <w:tcPr>
            <w:tcW w:w="2195" w:type="dxa"/>
            <w:tcBorders>
              <w:top w:val="single" w:color="000000" w:sz="4" w:space="0"/>
              <w:left w:val="single" w:color="000000" w:sz="4" w:space="0"/>
              <w:bottom w:val="single" w:color="000000" w:sz="4" w:space="0"/>
              <w:right w:val="single" w:color="000000" w:sz="4" w:space="0"/>
            </w:tcBorders>
            <w:shd w:val="clear" w:color="000000" w:fill="FFFFFF"/>
            <w:vAlign w:val="center"/>
          </w:tcPr>
          <w:p w14:paraId="3DDC880D">
            <w:pPr>
              <w:jc w:val="center"/>
              <w:rPr>
                <w:rFonts w:ascii="宋体" w:cs="宋体"/>
              </w:rPr>
            </w:pPr>
          </w:p>
        </w:tc>
      </w:tr>
      <w:tr w14:paraId="5951CA2D">
        <w:tblPrEx>
          <w:tblCellMar>
            <w:top w:w="0" w:type="dxa"/>
            <w:left w:w="10" w:type="dxa"/>
            <w:bottom w:w="0" w:type="dxa"/>
            <w:right w:w="10" w:type="dxa"/>
          </w:tblCellMar>
        </w:tblPrEx>
        <w:trPr>
          <w:trHeight w:val="1360"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7D957BC1">
            <w:pPr>
              <w:jc w:val="center"/>
              <w:rPr>
                <w:b/>
              </w:rPr>
            </w:pPr>
            <w:r>
              <w:rPr>
                <w:rFonts w:ascii="宋体" w:cs="宋体"/>
                <w:b/>
                <w:sz w:val="28"/>
              </w:rPr>
              <w:t>课型</w:t>
            </w:r>
          </w:p>
        </w:tc>
        <w:tc>
          <w:tcPr>
            <w:tcW w:w="1967"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AB9A1E8">
            <w:pPr>
              <w:jc w:val="center"/>
            </w:pPr>
            <w:r>
              <w:rPr>
                <w:rFonts w:ascii="Times New Roman" w:hAnsi="Times New Roman"/>
                <w:sz w:val="24"/>
                <w:szCs w:val="24"/>
              </w:rPr>
              <w:t>新授课</w:t>
            </w:r>
          </w:p>
        </w:tc>
        <w:tc>
          <w:tcPr>
            <w:tcW w:w="105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E8538CA">
            <w:pPr>
              <w:jc w:val="center"/>
              <w:rPr>
                <w:b/>
              </w:rPr>
            </w:pPr>
            <w:r>
              <w:rPr>
                <w:rFonts w:ascii="宋体" w:cs="宋体"/>
                <w:b/>
                <w:sz w:val="28"/>
              </w:rPr>
              <w:t>课时</w:t>
            </w:r>
          </w:p>
        </w:tc>
        <w:tc>
          <w:tcPr>
            <w:tcW w:w="2452"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BDD5A53">
            <w:pPr>
              <w:jc w:val="left"/>
              <w:rPr>
                <w:rFonts w:ascii="Times New Roman" w:hAnsi="Times New Roman"/>
                <w:sz w:val="24"/>
                <w:szCs w:val="24"/>
              </w:rPr>
            </w:pPr>
            <w:r>
              <w:rPr>
                <w:rFonts w:ascii="Times New Roman" w:hAnsi="Times New Roman"/>
                <w:sz w:val="24"/>
                <w:szCs w:val="24"/>
              </w:rPr>
              <w:t>第</w:t>
            </w:r>
            <w:r>
              <w:rPr>
                <w:rFonts w:hint="eastAsia" w:ascii="Times New Roman" w:hAnsi="Times New Roman"/>
                <w:sz w:val="24"/>
                <w:szCs w:val="24"/>
                <w:lang w:val="en-US" w:eastAsia="zh-CN"/>
              </w:rPr>
              <w:t xml:space="preserve">  </w:t>
            </w:r>
            <w:r>
              <w:rPr>
                <w:rFonts w:ascii="Times New Roman" w:hAnsi="Times New Roman"/>
                <w:sz w:val="24"/>
                <w:szCs w:val="24"/>
              </w:rPr>
              <w:t>周</w:t>
            </w:r>
          </w:p>
          <w:p w14:paraId="11C99913">
            <w:pPr>
              <w:jc w:val="left"/>
              <w:rPr>
                <w:rFonts w:ascii="宋体" w:cs="宋体"/>
                <w:sz w:val="28"/>
              </w:rPr>
            </w:pPr>
            <w:r>
              <w:rPr>
                <w:rFonts w:ascii="Times New Roman" w:hAnsi="Times New Roman"/>
                <w:sz w:val="24"/>
                <w:szCs w:val="24"/>
              </w:rPr>
              <w:t>第</w:t>
            </w:r>
            <w:r>
              <w:rPr>
                <w:rFonts w:hint="eastAsia" w:ascii="Times New Roman" w:hAnsi="Times New Roman"/>
                <w:sz w:val="24"/>
                <w:szCs w:val="24"/>
                <w:lang w:val="en-US" w:eastAsia="zh-CN"/>
              </w:rPr>
              <w:t xml:space="preserve">  </w:t>
            </w:r>
            <w:r>
              <w:rPr>
                <w:rFonts w:ascii="Times New Roman" w:hAnsi="Times New Roman"/>
                <w:sz w:val="24"/>
                <w:szCs w:val="24"/>
              </w:rPr>
              <w:t>课时</w:t>
            </w:r>
          </w:p>
        </w:tc>
        <w:tc>
          <w:tcPr>
            <w:tcW w:w="836"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1F9D80DE">
            <w:pPr>
              <w:jc w:val="center"/>
              <w:rPr>
                <w:rFonts w:ascii="宋体" w:cs="宋体"/>
                <w:b/>
                <w:sz w:val="28"/>
              </w:rPr>
            </w:pPr>
            <w:r>
              <w:rPr>
                <w:rFonts w:hint="eastAsia" w:ascii="宋体" w:cs="宋体"/>
                <w:b/>
                <w:sz w:val="28"/>
              </w:rPr>
              <w:t>上课</w:t>
            </w:r>
          </w:p>
          <w:p w14:paraId="2F64384E">
            <w:pPr>
              <w:jc w:val="center"/>
              <w:rPr>
                <w:b/>
              </w:rPr>
            </w:pPr>
            <w:r>
              <w:rPr>
                <w:rFonts w:ascii="宋体" w:cs="宋体"/>
                <w:b/>
                <w:sz w:val="28"/>
              </w:rPr>
              <w:t>时间</w:t>
            </w:r>
          </w:p>
        </w:tc>
        <w:tc>
          <w:tcPr>
            <w:tcW w:w="2195" w:type="dxa"/>
            <w:tcBorders>
              <w:top w:val="single" w:color="000000" w:sz="4" w:space="0"/>
              <w:left w:val="single" w:color="000000" w:sz="4" w:space="0"/>
              <w:bottom w:val="single" w:color="000000" w:sz="4" w:space="0"/>
              <w:right w:val="single" w:color="000000" w:sz="4" w:space="0"/>
            </w:tcBorders>
            <w:shd w:val="clear" w:color="000000" w:fill="FFFFFF"/>
            <w:vAlign w:val="center"/>
          </w:tcPr>
          <w:p w14:paraId="415AF40F">
            <w:pPr>
              <w:jc w:val="center"/>
              <w:rPr>
                <w:b/>
                <w:sz w:val="28"/>
                <w:szCs w:val="28"/>
              </w:rPr>
            </w:pPr>
          </w:p>
        </w:tc>
      </w:tr>
      <w:tr w14:paraId="23EBA0EC">
        <w:tblPrEx>
          <w:tblCellMar>
            <w:top w:w="0" w:type="dxa"/>
            <w:left w:w="10" w:type="dxa"/>
            <w:bottom w:w="0" w:type="dxa"/>
            <w:right w:w="10" w:type="dxa"/>
          </w:tblCellMar>
        </w:tblPrEx>
        <w:trPr>
          <w:trHeight w:val="1029" w:hRule="atLeast"/>
        </w:trPr>
        <w:tc>
          <w:tcPr>
            <w:tcW w:w="1520"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31C5FB50">
            <w:pPr>
              <w:jc w:val="center"/>
              <w:rPr>
                <w:rFonts w:ascii="宋体" w:cs="宋体"/>
                <w:b/>
                <w:sz w:val="28"/>
              </w:rPr>
            </w:pPr>
            <w:r>
              <w:rPr>
                <w:rFonts w:hint="eastAsia" w:ascii="宋体" w:cs="宋体"/>
                <w:b/>
                <w:sz w:val="28"/>
              </w:rPr>
              <w:t>学情分析</w:t>
            </w:r>
          </w:p>
        </w:tc>
        <w:tc>
          <w:tcPr>
            <w:tcW w:w="8500" w:type="dxa"/>
            <w:gridSpan w:val="5"/>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1346F32C">
            <w:pPr>
              <w:spacing w:line="360" w:lineRule="auto"/>
              <w:jc w:val="left"/>
              <w:rPr>
                <w:rFonts w:ascii="宋体"/>
              </w:rPr>
            </w:pPr>
            <w:r>
              <w:rPr>
                <w:rFonts w:hint="eastAsia" w:ascii="Times New Roman" w:hAnsi="Times New Roman"/>
                <w:sz w:val="24"/>
                <w:szCs w:val="24"/>
              </w:rPr>
              <w:t>学生虽对城市轨道交通票务有一定理论认知，但对现金、票据、备品等管理的实际操作与规范细则缺乏深入了解。学生对现金安全管理、票据规范使用等实践内容充满好奇，具备较强自主学习和团队协作能力，可通过资料收集、小组研讨探究管理要点。</w:t>
            </w:r>
          </w:p>
        </w:tc>
      </w:tr>
      <w:tr w14:paraId="5496B940">
        <w:tblPrEx>
          <w:tblCellMar>
            <w:top w:w="0" w:type="dxa"/>
            <w:left w:w="10" w:type="dxa"/>
            <w:bottom w:w="0" w:type="dxa"/>
            <w:right w:w="10" w:type="dxa"/>
          </w:tblCellMar>
        </w:tblPrEx>
        <w:trPr>
          <w:trHeight w:val="1029" w:hRule="atLeast"/>
        </w:trPr>
        <w:tc>
          <w:tcPr>
            <w:tcW w:w="1520" w:type="dxa"/>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21895195">
            <w:pPr>
              <w:jc w:val="center"/>
              <w:rPr>
                <w:rFonts w:ascii="宋体" w:cs="宋体"/>
                <w:b/>
                <w:sz w:val="28"/>
              </w:rPr>
            </w:pPr>
            <w:r>
              <w:rPr>
                <w:rFonts w:hint="eastAsia" w:ascii="宋体" w:cs="宋体"/>
                <w:b/>
                <w:sz w:val="28"/>
              </w:rPr>
              <w:t>课程思政</w:t>
            </w:r>
          </w:p>
        </w:tc>
        <w:tc>
          <w:tcPr>
            <w:tcW w:w="8500" w:type="dxa"/>
            <w:gridSpan w:val="5"/>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7C7A6561">
            <w:pPr>
              <w:spacing w:line="360" w:lineRule="auto"/>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1.深刻认识到现金管理工作责任重大，涉及公共资金安全和乘客利益，培养高度的责任感，在每一个现金管理环节都做到认真、严谨。</w:t>
            </w:r>
          </w:p>
          <w:p w14:paraId="5EE30A3F">
            <w:pPr>
              <w:spacing w:line="360" w:lineRule="auto"/>
              <w:jc w:val="left"/>
              <w:rPr>
                <w:rFonts w:hint="eastAsia" w:ascii="宋体" w:hAnsi="宋体" w:eastAsia="宋体" w:cs="宋体"/>
                <w:sz w:val="24"/>
                <w:szCs w:val="24"/>
              </w:rPr>
            </w:pPr>
            <w:r>
              <w:rPr>
                <w:rFonts w:hint="eastAsia" w:ascii="宋体" w:hAnsi="宋体" w:eastAsia="宋体" w:cs="宋体"/>
                <w:sz w:val="24"/>
                <w:szCs w:val="24"/>
                <w:lang w:val="en-US" w:eastAsia="zh-CN"/>
              </w:rPr>
              <w:t>2.在现金收款、找零等与乘客直接接触的环节，注重服务质量，保持礼貌、耐心的态度，提高乘客对现金交易环节的满意度。</w:t>
            </w:r>
          </w:p>
        </w:tc>
      </w:tr>
      <w:tr w14:paraId="53A13ED7">
        <w:tblPrEx>
          <w:tblCellMar>
            <w:top w:w="0" w:type="dxa"/>
            <w:left w:w="10" w:type="dxa"/>
            <w:bottom w:w="0" w:type="dxa"/>
            <w:right w:w="10" w:type="dxa"/>
          </w:tblCellMar>
        </w:tblPrEx>
        <w:trPr>
          <w:trHeight w:val="1376"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354DA531">
            <w:pPr>
              <w:jc w:val="center"/>
              <w:rPr>
                <w:rFonts w:ascii="宋体"/>
                <w:b/>
              </w:rPr>
            </w:pPr>
            <w:r>
              <w:rPr>
                <w:rFonts w:ascii="宋体" w:cs="宋体"/>
                <w:b/>
                <w:sz w:val="28"/>
              </w:rPr>
              <w:t>教学目标</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5432B53E">
            <w:pPr>
              <w:spacing w:line="360" w:lineRule="auto"/>
              <w:jc w:val="left"/>
              <w:rPr>
                <w:rFonts w:hint="eastAsia" w:ascii="Times New Roman" w:hAnsi="Times New Roman"/>
                <w:sz w:val="24"/>
                <w:szCs w:val="24"/>
              </w:rPr>
            </w:pPr>
            <w:r>
              <w:rPr>
                <w:rFonts w:hint="eastAsia" w:ascii="Times New Roman" w:hAnsi="Times New Roman"/>
                <w:sz w:val="24"/>
                <w:szCs w:val="24"/>
              </w:rPr>
              <w:t>知识目标：</w:t>
            </w:r>
          </w:p>
          <w:p w14:paraId="0ED59EA4">
            <w:pPr>
              <w:spacing w:line="360" w:lineRule="auto"/>
              <w:jc w:val="left"/>
              <w:rPr>
                <w:rFonts w:hint="eastAsia" w:ascii="Times New Roman" w:hAnsi="Times New Roman"/>
                <w:sz w:val="24"/>
                <w:szCs w:val="24"/>
                <w:lang w:val="en-US" w:eastAsia="zh-CN"/>
              </w:rPr>
            </w:pPr>
            <w:r>
              <w:rPr>
                <w:rFonts w:hint="eastAsia" w:ascii="Times New Roman" w:hAnsi="Times New Roman"/>
                <w:sz w:val="24"/>
                <w:szCs w:val="24"/>
                <w:lang w:val="en-US" w:eastAsia="zh-CN"/>
              </w:rPr>
              <w:t>1.了解现金的来源。</w:t>
            </w:r>
          </w:p>
          <w:p w14:paraId="1CA85CA7">
            <w:pPr>
              <w:spacing w:line="360" w:lineRule="auto"/>
              <w:jc w:val="left"/>
              <w:rPr>
                <w:rFonts w:hint="eastAsia" w:ascii="Times New Roman" w:hAnsi="Times New Roman"/>
                <w:sz w:val="24"/>
                <w:szCs w:val="24"/>
                <w:lang w:val="en-US" w:eastAsia="zh-CN"/>
              </w:rPr>
            </w:pPr>
            <w:r>
              <w:rPr>
                <w:rFonts w:hint="eastAsia" w:ascii="Times New Roman" w:hAnsi="Times New Roman"/>
                <w:sz w:val="24"/>
                <w:szCs w:val="24"/>
                <w:lang w:val="en-US" w:eastAsia="zh-CN"/>
              </w:rPr>
              <w:t>2.理解直接解行的定义。</w:t>
            </w:r>
          </w:p>
          <w:p w14:paraId="1DB7CEE6">
            <w:pPr>
              <w:spacing w:line="360" w:lineRule="auto"/>
              <w:jc w:val="left"/>
              <w:rPr>
                <w:rFonts w:hint="default" w:ascii="Times New Roman" w:hAnsi="Times New Roman"/>
                <w:sz w:val="24"/>
                <w:szCs w:val="24"/>
                <w:lang w:val="en-US"/>
              </w:rPr>
            </w:pPr>
            <w:r>
              <w:rPr>
                <w:rFonts w:hint="eastAsia" w:ascii="Times New Roman" w:hAnsi="Times New Roman"/>
                <w:sz w:val="24"/>
                <w:szCs w:val="24"/>
                <w:lang w:val="en-US" w:eastAsia="zh-CN"/>
              </w:rPr>
              <w:t>3.熟悉报表内容填写基本原则。</w:t>
            </w:r>
          </w:p>
          <w:p w14:paraId="1A89CF0A">
            <w:pPr>
              <w:spacing w:line="360" w:lineRule="auto"/>
              <w:jc w:val="left"/>
              <w:rPr>
                <w:rFonts w:hint="eastAsia" w:ascii="Times New Roman" w:hAnsi="Times New Roman"/>
                <w:sz w:val="24"/>
                <w:szCs w:val="24"/>
              </w:rPr>
            </w:pPr>
            <w:r>
              <w:rPr>
                <w:rFonts w:hint="eastAsia" w:ascii="Times New Roman" w:hAnsi="Times New Roman"/>
                <w:sz w:val="24"/>
                <w:szCs w:val="24"/>
              </w:rPr>
              <w:t>能力目标：</w:t>
            </w:r>
          </w:p>
          <w:p w14:paraId="2FF32CEB">
            <w:pPr>
              <w:spacing w:line="360" w:lineRule="auto"/>
              <w:jc w:val="left"/>
              <w:rPr>
                <w:rFonts w:hint="eastAsia" w:ascii="Times New Roman" w:hAnsi="Times New Roman"/>
                <w:sz w:val="24"/>
                <w:szCs w:val="24"/>
                <w:lang w:val="en-US" w:eastAsia="zh-CN"/>
              </w:rPr>
            </w:pPr>
            <w:r>
              <w:rPr>
                <w:rFonts w:hint="eastAsia" w:ascii="Times New Roman" w:hAnsi="Times New Roman"/>
                <w:sz w:val="24"/>
                <w:szCs w:val="24"/>
                <w:lang w:val="en-US" w:eastAsia="zh-CN"/>
              </w:rPr>
              <w:t>1.能够掌握鉴别真假人民币的传统做法。</w:t>
            </w:r>
          </w:p>
          <w:p w14:paraId="0D772CF5">
            <w:pPr>
              <w:spacing w:line="360" w:lineRule="auto"/>
              <w:jc w:val="left"/>
              <w:rPr>
                <w:rFonts w:hint="eastAsia" w:ascii="宋体" w:hAnsi="宋体" w:cs="楷体"/>
                <w:sz w:val="24"/>
              </w:rPr>
            </w:pPr>
            <w:r>
              <w:rPr>
                <w:rFonts w:hint="eastAsia" w:ascii="Times New Roman" w:hAnsi="Times New Roman"/>
                <w:sz w:val="24"/>
                <w:szCs w:val="24"/>
                <w:lang w:val="en-US" w:eastAsia="zh-CN"/>
              </w:rPr>
              <w:t>2.能够对比直接解行和集中站收款（打包返纳）的优缺点。</w:t>
            </w:r>
          </w:p>
        </w:tc>
      </w:tr>
      <w:tr w14:paraId="483EBB59">
        <w:tblPrEx>
          <w:tblCellMar>
            <w:top w:w="0" w:type="dxa"/>
            <w:left w:w="10" w:type="dxa"/>
            <w:bottom w:w="0" w:type="dxa"/>
            <w:right w:w="10" w:type="dxa"/>
          </w:tblCellMar>
        </w:tblPrEx>
        <w:trPr>
          <w:trHeight w:val="398"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BF4A295">
            <w:pPr>
              <w:jc w:val="center"/>
              <w:rPr>
                <w:rFonts w:ascii="宋体" w:cs="宋体"/>
                <w:b/>
                <w:sz w:val="28"/>
              </w:rPr>
            </w:pPr>
            <w:r>
              <w:rPr>
                <w:rFonts w:ascii="宋体" w:cs="宋体"/>
                <w:b/>
                <w:sz w:val="28"/>
              </w:rPr>
              <w:t>教学</w:t>
            </w:r>
            <w:r>
              <w:rPr>
                <w:rFonts w:hint="eastAsia" w:ascii="宋体" w:cs="宋体"/>
                <w:b/>
                <w:sz w:val="28"/>
              </w:rPr>
              <w:t>重</w:t>
            </w:r>
          </w:p>
          <w:p w14:paraId="230E2C9C">
            <w:pPr>
              <w:jc w:val="center"/>
              <w:rPr>
                <w:rFonts w:ascii="宋体" w:cs="宋体"/>
                <w:b/>
                <w:sz w:val="28"/>
              </w:rPr>
            </w:pPr>
            <w:r>
              <w:rPr>
                <w:rFonts w:hint="eastAsia" w:ascii="宋体" w:cs="宋体"/>
                <w:b/>
                <w:sz w:val="28"/>
              </w:rPr>
              <w:t>难点</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A457975">
            <w:pPr>
              <w:numPr>
                <w:ilvl w:val="0"/>
                <w:numId w:val="0"/>
              </w:numPr>
              <w:spacing w:line="360" w:lineRule="auto"/>
              <w:rPr>
                <w:rFonts w:hint="eastAsia" w:ascii="Times New Roman" w:hAnsi="Times New Roman"/>
                <w:bCs/>
                <w:sz w:val="24"/>
                <w:szCs w:val="24"/>
              </w:rPr>
            </w:pPr>
            <w:r>
              <w:rPr>
                <w:rFonts w:hint="eastAsia" w:ascii="Times New Roman" w:hAnsi="Times New Roman" w:eastAsia="宋体" w:cs="Times New Roman"/>
                <w:bCs/>
                <w:kern w:val="2"/>
                <w:sz w:val="24"/>
                <w:szCs w:val="24"/>
                <w:lang w:val="en-US" w:eastAsia="zh-CN" w:bidi="ar-SA"/>
              </w:rPr>
              <w:t>1.</w:t>
            </w:r>
            <w:r>
              <w:rPr>
                <w:rFonts w:hint="eastAsia" w:ascii="Times New Roman" w:hAnsi="Times New Roman"/>
                <w:sz w:val="24"/>
                <w:szCs w:val="24"/>
                <w:lang w:val="en-US" w:eastAsia="zh-CN"/>
              </w:rPr>
              <w:t>现金的来源、备用金管理和票款管理</w:t>
            </w:r>
            <w:r>
              <w:rPr>
                <w:rFonts w:hint="eastAsia" w:ascii="Times New Roman" w:hAnsi="Times New Roman"/>
                <w:bCs/>
                <w:sz w:val="24"/>
                <w:szCs w:val="24"/>
              </w:rPr>
              <w:t>。</w:t>
            </w:r>
          </w:p>
          <w:p w14:paraId="1E39E363">
            <w:pPr>
              <w:numPr>
                <w:ilvl w:val="0"/>
                <w:numId w:val="0"/>
              </w:numPr>
              <w:spacing w:line="360" w:lineRule="auto"/>
              <w:rPr>
                <w:rFonts w:hint="eastAsia" w:ascii="Times New Roman" w:hAnsi="Times New Roman"/>
                <w:bCs/>
                <w:sz w:val="24"/>
                <w:szCs w:val="24"/>
              </w:rPr>
            </w:pPr>
            <w:r>
              <w:rPr>
                <w:rFonts w:hint="eastAsia" w:ascii="Times New Roman" w:hAnsi="Times New Roman" w:eastAsia="宋体" w:cs="Times New Roman"/>
                <w:bCs/>
                <w:kern w:val="2"/>
                <w:sz w:val="24"/>
                <w:szCs w:val="24"/>
                <w:lang w:val="en-US" w:eastAsia="zh-CN" w:bidi="ar-SA"/>
              </w:rPr>
              <w:t>2.</w:t>
            </w:r>
            <w:r>
              <w:rPr>
                <w:rFonts w:hint="eastAsia" w:ascii="Times New Roman" w:hAnsi="Times New Roman"/>
                <w:bCs/>
                <w:sz w:val="24"/>
                <w:szCs w:val="24"/>
                <w:lang w:val="en-US" w:eastAsia="zh-CN"/>
              </w:rPr>
              <w:t>票据管理流程和票务备品管理。</w:t>
            </w:r>
            <w:bookmarkStart w:id="0" w:name="_GoBack"/>
            <w:bookmarkEnd w:id="0"/>
          </w:p>
          <w:p w14:paraId="59894ADA">
            <w:pPr>
              <w:widowControl w:val="0"/>
              <w:numPr>
                <w:ilvl w:val="0"/>
                <w:numId w:val="0"/>
              </w:numPr>
              <w:spacing w:line="360" w:lineRule="auto"/>
              <w:jc w:val="both"/>
              <w:rPr>
                <w:rFonts w:hint="default" w:ascii="Times New Roman" w:hAnsi="Times New Roman" w:eastAsia="宋体"/>
                <w:bCs/>
                <w:sz w:val="24"/>
                <w:szCs w:val="24"/>
                <w:lang w:val="en-US" w:eastAsia="zh-CN"/>
              </w:rPr>
            </w:pPr>
            <w:r>
              <w:rPr>
                <w:rFonts w:hint="eastAsia" w:ascii="Times New Roman" w:hAnsi="Times New Roman"/>
                <w:bCs/>
                <w:sz w:val="24"/>
                <w:szCs w:val="24"/>
                <w:lang w:val="en-US" w:eastAsia="zh-CN"/>
              </w:rPr>
              <w:t>3.如何在实际操作中确保现金的安全与准确。</w:t>
            </w:r>
          </w:p>
        </w:tc>
      </w:tr>
      <w:tr w14:paraId="0D4C2EAB">
        <w:tblPrEx>
          <w:tblCellMar>
            <w:top w:w="0" w:type="dxa"/>
            <w:left w:w="10" w:type="dxa"/>
            <w:bottom w:w="0" w:type="dxa"/>
            <w:right w:w="10" w:type="dxa"/>
          </w:tblCellMar>
        </w:tblPrEx>
        <w:trPr>
          <w:trHeight w:val="432"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29A616C8">
            <w:pPr>
              <w:jc w:val="center"/>
              <w:rPr>
                <w:rFonts w:ascii="宋体" w:cs="宋体"/>
                <w:b/>
              </w:rPr>
            </w:pPr>
            <w:r>
              <w:rPr>
                <w:rFonts w:ascii="宋体" w:cs="宋体"/>
                <w:b/>
                <w:sz w:val="28"/>
              </w:rPr>
              <w:t>教学方法</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3C4BB24">
            <w:r>
              <w:rPr>
                <w:rFonts w:hint="eastAsia" w:ascii="Times New Roman" w:hAnsi="Times New Roman"/>
                <w:bCs/>
                <w:sz w:val="24"/>
                <w:szCs w:val="24"/>
              </w:rPr>
              <w:t>讲授法、互动问答法</w:t>
            </w:r>
          </w:p>
        </w:tc>
      </w:tr>
      <w:tr w14:paraId="1A35DB38">
        <w:tblPrEx>
          <w:tblCellMar>
            <w:top w:w="0" w:type="dxa"/>
            <w:left w:w="10" w:type="dxa"/>
            <w:bottom w:w="0" w:type="dxa"/>
            <w:right w:w="10" w:type="dxa"/>
          </w:tblCellMar>
        </w:tblPrEx>
        <w:trPr>
          <w:trHeight w:val="591"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3EA720C0">
            <w:pPr>
              <w:jc w:val="center"/>
              <w:rPr>
                <w:rFonts w:ascii="宋体" w:cs="宋体"/>
                <w:b/>
                <w:sz w:val="28"/>
              </w:rPr>
            </w:pPr>
            <w:r>
              <w:rPr>
                <w:rFonts w:hint="eastAsia" w:ascii="宋体" w:cs="宋体"/>
                <w:b/>
                <w:sz w:val="28"/>
              </w:rPr>
              <w:t>教学媒体</w:t>
            </w:r>
          </w:p>
        </w:tc>
        <w:tc>
          <w:tcPr>
            <w:tcW w:w="8500" w:type="dxa"/>
            <w:gridSpan w:val="5"/>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2CA03C4B">
            <w:r>
              <w:rPr>
                <w:rFonts w:ascii="Times New Roman" w:hAnsi="Times New Roman"/>
                <w:sz w:val="24"/>
                <w:szCs w:val="24"/>
              </w:rPr>
              <w:t>多媒体</w:t>
            </w:r>
          </w:p>
        </w:tc>
      </w:tr>
      <w:tr w14:paraId="5353A8A0">
        <w:tblPrEx>
          <w:tblCellMar>
            <w:top w:w="0" w:type="dxa"/>
            <w:left w:w="10" w:type="dxa"/>
            <w:bottom w:w="0" w:type="dxa"/>
            <w:right w:w="10" w:type="dxa"/>
          </w:tblCellMar>
        </w:tblPrEx>
        <w:trPr>
          <w:trHeight w:val="390" w:hRule="atLeast"/>
        </w:trPr>
        <w:tc>
          <w:tcPr>
            <w:tcW w:w="10020" w:type="dxa"/>
            <w:gridSpan w:val="6"/>
            <w:tcBorders>
              <w:top w:val="single" w:color="000000" w:sz="4" w:space="0"/>
              <w:left w:val="single" w:color="000000" w:sz="4" w:space="0"/>
              <w:bottom w:val="single" w:color="auto" w:sz="4" w:space="0"/>
              <w:right w:val="single" w:color="000000" w:sz="4" w:space="0"/>
            </w:tcBorders>
            <w:shd w:val="clear" w:color="000000" w:fill="FFFFFF"/>
            <w:tcMar>
              <w:left w:w="108" w:type="dxa"/>
              <w:right w:w="108" w:type="dxa"/>
            </w:tcMar>
            <w:vAlign w:val="center"/>
          </w:tcPr>
          <w:p w14:paraId="1F27C23F">
            <w:pPr>
              <w:jc w:val="center"/>
              <w:rPr>
                <w:rFonts w:ascii="宋体" w:cs="宋体"/>
              </w:rPr>
            </w:pPr>
            <w:r>
              <w:rPr>
                <w:rFonts w:ascii="宋体" w:cs="宋体"/>
                <w:b/>
                <w:sz w:val="28"/>
              </w:rPr>
              <w:t>教学过程</w:t>
            </w:r>
          </w:p>
        </w:tc>
      </w:tr>
      <w:tr w14:paraId="0A834541">
        <w:tblPrEx>
          <w:tblCellMar>
            <w:top w:w="0" w:type="dxa"/>
            <w:left w:w="10" w:type="dxa"/>
            <w:bottom w:w="0" w:type="dxa"/>
            <w:right w:w="10" w:type="dxa"/>
          </w:tblCellMar>
        </w:tblPrEx>
        <w:trPr>
          <w:trHeight w:val="254" w:hRule="atLeast"/>
        </w:trPr>
        <w:tc>
          <w:tcPr>
            <w:tcW w:w="1520" w:type="dxa"/>
            <w:tcBorders>
              <w:top w:val="single" w:color="auto" w:sz="4" w:space="0"/>
              <w:left w:val="single" w:color="000000" w:sz="4" w:space="0"/>
              <w:bottom w:val="single" w:color="000000" w:sz="4" w:space="0"/>
              <w:right w:val="single" w:color="auto" w:sz="4" w:space="0"/>
            </w:tcBorders>
            <w:shd w:val="clear" w:color="000000" w:fill="FFFFFF"/>
            <w:tcMar>
              <w:left w:w="108" w:type="dxa"/>
              <w:right w:w="108" w:type="dxa"/>
            </w:tcMar>
            <w:vAlign w:val="center"/>
          </w:tcPr>
          <w:p w14:paraId="4B78F5BD">
            <w:pPr>
              <w:jc w:val="center"/>
              <w:rPr>
                <w:rFonts w:ascii="宋体" w:cs="宋体"/>
                <w:b/>
                <w:sz w:val="28"/>
              </w:rPr>
            </w:pPr>
            <w:r>
              <w:rPr>
                <w:rFonts w:hint="eastAsia" w:ascii="宋体" w:cs="宋体"/>
                <w:b/>
                <w:sz w:val="28"/>
              </w:rPr>
              <w:t>课前准备</w:t>
            </w:r>
          </w:p>
        </w:tc>
        <w:tc>
          <w:tcPr>
            <w:tcW w:w="8500" w:type="dxa"/>
            <w:gridSpan w:val="5"/>
            <w:tcBorders>
              <w:top w:val="single" w:color="auto" w:sz="4" w:space="0"/>
              <w:left w:val="single" w:color="auto" w:sz="4" w:space="0"/>
              <w:bottom w:val="single" w:color="000000" w:sz="4" w:space="0"/>
              <w:right w:val="single" w:color="000000" w:sz="4" w:space="0"/>
            </w:tcBorders>
            <w:shd w:val="clear" w:color="000000" w:fill="FFFFFF"/>
            <w:vAlign w:val="center"/>
          </w:tcPr>
          <w:p w14:paraId="7A7837E9">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宋体" w:hAnsi="宋体" w:cs="楷体"/>
                <w:sz w:val="24"/>
              </w:rPr>
            </w:pPr>
            <w:r>
              <w:rPr>
                <w:rFonts w:hint="eastAsia" w:ascii="宋体" w:hAnsi="宋体" w:cs="楷体"/>
                <w:sz w:val="24"/>
              </w:rPr>
              <w:t>1.教师做好教学准备，包括课件、教学视频等，调试多媒体</w:t>
            </w:r>
          </w:p>
          <w:p w14:paraId="7105E731">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ascii="宋体" w:cs="宋体"/>
                <w:b/>
                <w:sz w:val="28"/>
              </w:rPr>
            </w:pPr>
            <w:r>
              <w:rPr>
                <w:rFonts w:hint="eastAsia" w:ascii="宋体" w:hAnsi="宋体" w:cs="楷体"/>
                <w:sz w:val="24"/>
              </w:rPr>
              <w:t>2.告知学生预习本次课</w:t>
            </w:r>
            <w:r>
              <w:rPr>
                <w:rFonts w:ascii="宋体" w:hAnsi="宋体" w:cs="楷体"/>
                <w:sz w:val="24"/>
              </w:rPr>
              <w:t>的相关</w:t>
            </w:r>
            <w:r>
              <w:rPr>
                <w:rFonts w:hint="eastAsia" w:ascii="宋体" w:hAnsi="宋体" w:cs="楷体"/>
                <w:sz w:val="24"/>
              </w:rPr>
              <w:t>内容</w:t>
            </w:r>
          </w:p>
        </w:tc>
      </w:tr>
      <w:tr w14:paraId="4C63475D">
        <w:tblPrEx>
          <w:tblCellMar>
            <w:top w:w="0" w:type="dxa"/>
            <w:left w:w="10" w:type="dxa"/>
            <w:bottom w:w="0" w:type="dxa"/>
            <w:right w:w="10" w:type="dxa"/>
          </w:tblCellMar>
        </w:tblPrEx>
        <w:trPr>
          <w:trHeight w:val="1530"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69048B3A">
            <w:pPr>
              <w:rPr>
                <w:rFonts w:ascii="宋体" w:cs="宋体"/>
                <w:b/>
                <w:sz w:val="28"/>
              </w:rPr>
            </w:pPr>
            <w:r>
              <w:rPr>
                <w:rFonts w:ascii="宋体" w:cs="宋体"/>
                <w:b/>
                <w:sz w:val="28"/>
              </w:rPr>
              <w:t>教学环节</w:t>
            </w:r>
            <w:r>
              <w:rPr>
                <w:rFonts w:ascii="宋体" w:cs="宋体"/>
                <w:b/>
                <w:sz w:val="22"/>
              </w:rPr>
              <w:t>（时间分配）</w:t>
            </w:r>
          </w:p>
        </w:tc>
        <w:tc>
          <w:tcPr>
            <w:tcW w:w="3017" w:type="dxa"/>
            <w:gridSpan w:val="2"/>
            <w:tcBorders>
              <w:top w:val="single" w:color="auto" w:sz="4" w:space="0"/>
              <w:left w:val="single" w:color="000000" w:sz="4" w:space="0"/>
              <w:bottom w:val="single" w:color="auto" w:sz="4" w:space="0"/>
              <w:right w:val="single" w:color="auto" w:sz="4" w:space="0"/>
            </w:tcBorders>
            <w:shd w:val="clear" w:color="000000" w:fill="FFFFFF"/>
            <w:tcMar>
              <w:left w:w="108" w:type="dxa"/>
              <w:right w:w="108" w:type="dxa"/>
            </w:tcMar>
            <w:vAlign w:val="center"/>
          </w:tcPr>
          <w:p w14:paraId="6E5E2E3F">
            <w:pPr>
              <w:jc w:val="center"/>
              <w:rPr>
                <w:rFonts w:ascii="宋体" w:cs="宋体"/>
                <w:b/>
                <w:sz w:val="28"/>
              </w:rPr>
            </w:pPr>
            <w:r>
              <w:rPr>
                <w:rFonts w:hint="eastAsia" w:ascii="宋体" w:cs="宋体"/>
                <w:b/>
                <w:sz w:val="28"/>
              </w:rPr>
              <w:t>教学内容及要点</w:t>
            </w:r>
          </w:p>
        </w:tc>
        <w:tc>
          <w:tcPr>
            <w:tcW w:w="2452" w:type="dxa"/>
            <w:tcBorders>
              <w:top w:val="single" w:color="auto" w:sz="4" w:space="0"/>
              <w:left w:val="single" w:color="auto" w:sz="4" w:space="0"/>
              <w:bottom w:val="single" w:color="000000" w:sz="4" w:space="0"/>
              <w:right w:val="single" w:color="000000" w:sz="4" w:space="0"/>
            </w:tcBorders>
            <w:shd w:val="clear" w:color="000000" w:fill="FFFFFF"/>
            <w:vAlign w:val="center"/>
          </w:tcPr>
          <w:p w14:paraId="2E212298">
            <w:pPr>
              <w:jc w:val="center"/>
              <w:rPr>
                <w:rFonts w:ascii="宋体" w:cs="宋体"/>
                <w:b/>
                <w:sz w:val="28"/>
              </w:rPr>
            </w:pPr>
            <w:r>
              <w:rPr>
                <w:rFonts w:hint="eastAsia" w:ascii="宋体" w:cs="宋体"/>
                <w:b/>
                <w:sz w:val="28"/>
              </w:rPr>
              <w:t>师生双边活动</w:t>
            </w:r>
          </w:p>
        </w:tc>
        <w:tc>
          <w:tcPr>
            <w:tcW w:w="3031" w:type="dxa"/>
            <w:gridSpan w:val="2"/>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vAlign w:val="center"/>
          </w:tcPr>
          <w:p w14:paraId="4838F6DD">
            <w:pPr>
              <w:rPr>
                <w:rFonts w:ascii="宋体" w:cs="宋体"/>
                <w:b/>
                <w:sz w:val="28"/>
              </w:rPr>
            </w:pPr>
            <w:r>
              <w:rPr>
                <w:rFonts w:ascii="宋体" w:cs="宋体"/>
                <w:b/>
                <w:sz w:val="28"/>
              </w:rPr>
              <w:t>设计意图</w:t>
            </w:r>
          </w:p>
        </w:tc>
      </w:tr>
      <w:tr w14:paraId="5F97D279">
        <w:tblPrEx>
          <w:tblCellMar>
            <w:top w:w="0" w:type="dxa"/>
            <w:left w:w="10" w:type="dxa"/>
            <w:bottom w:w="0" w:type="dxa"/>
            <w:right w:w="10" w:type="dxa"/>
          </w:tblCellMar>
        </w:tblPrEx>
        <w:trPr>
          <w:trHeight w:val="784" w:hRule="atLeast"/>
        </w:trPr>
        <w:tc>
          <w:tcPr>
            <w:tcW w:w="1520" w:type="dxa"/>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tcPr>
          <w:p w14:paraId="17B594C7">
            <w:pPr>
              <w:ind w:firstLine="141" w:firstLineChars="50"/>
              <w:jc w:val="center"/>
              <w:rPr>
                <w:rFonts w:ascii="宋体" w:cs="宋体"/>
                <w:b/>
                <w:sz w:val="28"/>
              </w:rPr>
            </w:pPr>
            <w:r>
              <w:rPr>
                <w:rFonts w:ascii="宋体" w:cs="宋体"/>
                <w:b/>
                <w:sz w:val="28"/>
              </w:rPr>
              <w:t>导</w:t>
            </w:r>
          </w:p>
          <w:p w14:paraId="2C194F8A">
            <w:pPr>
              <w:ind w:firstLine="141" w:firstLineChars="50"/>
              <w:jc w:val="center"/>
            </w:pPr>
            <w:r>
              <w:rPr>
                <w:rFonts w:ascii="宋体" w:cs="宋体"/>
                <w:b/>
                <w:sz w:val="28"/>
              </w:rPr>
              <w:t>入</w:t>
            </w:r>
          </w:p>
        </w:tc>
        <w:tc>
          <w:tcPr>
            <w:tcW w:w="3017" w:type="dxa"/>
            <w:gridSpan w:val="2"/>
            <w:tcBorders>
              <w:top w:val="single" w:color="auto" w:sz="4" w:space="0"/>
              <w:left w:val="single" w:color="000000" w:sz="4" w:space="0"/>
              <w:bottom w:val="single" w:color="000000" w:sz="4" w:space="0"/>
              <w:right w:val="single" w:color="auto" w:sz="4" w:space="0"/>
            </w:tcBorders>
            <w:shd w:val="clear" w:color="000000" w:fill="FFFFFF"/>
            <w:tcMar>
              <w:left w:w="108" w:type="dxa"/>
              <w:right w:w="108" w:type="dxa"/>
            </w:tcMar>
          </w:tcPr>
          <w:p w14:paraId="11345C1D">
            <w:pPr>
              <w:spacing w:line="360" w:lineRule="auto"/>
              <w:ind w:firstLine="480" w:firstLineChars="200"/>
              <w:rPr>
                <w:rFonts w:ascii="Times New Roman" w:hAnsi="Times New Roman"/>
                <w:bCs/>
                <w:sz w:val="24"/>
                <w:szCs w:val="24"/>
              </w:rPr>
            </w:pPr>
            <w:r>
              <w:rPr>
                <w:rFonts w:hint="eastAsia" w:ascii="Times New Roman" w:hAnsi="Times New Roman"/>
                <w:bCs/>
                <w:sz w:val="24"/>
                <w:szCs w:val="24"/>
                <w:lang w:eastAsia="zh-CN"/>
              </w:rPr>
              <w:t>案例引入：</w:t>
            </w:r>
            <w:r>
              <w:rPr>
                <w:rFonts w:hint="eastAsia" w:ascii="Times New Roman" w:hAnsi="Times New Roman"/>
                <w:bCs/>
                <w:sz w:val="24"/>
                <w:szCs w:val="24"/>
                <w:lang w:val="en-US" w:eastAsia="zh-CN"/>
              </w:rPr>
              <w:t>展示</w:t>
            </w:r>
            <w:r>
              <w:rPr>
                <w:rFonts w:hint="eastAsia" w:ascii="Times New Roman" w:hAnsi="Times New Roman"/>
                <w:bCs/>
                <w:sz w:val="24"/>
                <w:szCs w:val="24"/>
                <w:lang w:eastAsia="zh-CN"/>
              </w:rPr>
              <w:t>一个真实的城市轨道交通现金管理失误案例。</w:t>
            </w:r>
          </w:p>
        </w:tc>
        <w:tc>
          <w:tcPr>
            <w:tcW w:w="2452" w:type="dxa"/>
            <w:tcBorders>
              <w:top w:val="single" w:color="000000" w:sz="4" w:space="0"/>
              <w:left w:val="single" w:color="auto" w:sz="4" w:space="0"/>
              <w:bottom w:val="single" w:color="000000" w:sz="4" w:space="0"/>
              <w:right w:val="single" w:color="000000" w:sz="4" w:space="0"/>
            </w:tcBorders>
            <w:shd w:val="clear" w:color="000000" w:fill="FFFFFF"/>
          </w:tcPr>
          <w:p w14:paraId="7BA0B40F">
            <w:pPr>
              <w:rPr>
                <w:rFonts w:ascii="宋体" w:cs="宋体"/>
                <w:sz w:val="22"/>
              </w:rPr>
            </w:pPr>
            <w:r>
              <w:rPr>
                <w:rFonts w:ascii="Times New Roman" w:hAnsi="Times New Roman"/>
                <w:sz w:val="24"/>
                <w:szCs w:val="24"/>
              </w:rPr>
              <w:t>学生思考后，教师补充</w:t>
            </w:r>
          </w:p>
          <w:p w14:paraId="5F2892F1">
            <w:pPr>
              <w:rPr>
                <w:rFonts w:ascii="宋体" w:cs="宋体"/>
                <w:sz w:val="22"/>
              </w:rPr>
            </w:pPr>
          </w:p>
        </w:tc>
        <w:tc>
          <w:tcPr>
            <w:tcW w:w="3031" w:type="dxa"/>
            <w:gridSpan w:val="2"/>
            <w:tcBorders>
              <w:top w:val="single" w:color="000000" w:sz="4" w:space="0"/>
              <w:left w:val="single" w:color="000000" w:sz="4" w:space="0"/>
              <w:bottom w:val="single" w:color="000000" w:sz="4" w:space="0"/>
              <w:right w:val="single" w:color="000000" w:sz="4" w:space="0"/>
            </w:tcBorders>
            <w:shd w:val="clear" w:color="000000" w:fill="FFFFFF"/>
            <w:tcMar>
              <w:left w:w="108" w:type="dxa"/>
              <w:right w:w="108" w:type="dxa"/>
            </w:tcMar>
          </w:tcPr>
          <w:p w14:paraId="7044FA51">
            <w:pPr>
              <w:spacing w:line="379" w:lineRule="auto"/>
              <w:rPr>
                <w:rFonts w:ascii="Times New Roman" w:hAnsi="Times New Roman"/>
                <w:sz w:val="24"/>
              </w:rPr>
            </w:pPr>
            <w:r>
              <w:rPr>
                <w:rFonts w:hint="eastAsia" w:ascii="Times New Roman" w:hAnsi="Times New Roman"/>
                <w:sz w:val="24"/>
                <w:lang w:val="en-US" w:eastAsia="zh-CN"/>
              </w:rPr>
              <w:t>通过观看案例</w:t>
            </w:r>
            <w:r>
              <w:rPr>
                <w:rFonts w:hint="eastAsia" w:ascii="Times New Roman" w:hAnsi="Times New Roman"/>
                <w:bCs/>
                <w:sz w:val="24"/>
                <w:szCs w:val="24"/>
                <w:lang w:eastAsia="zh-CN"/>
              </w:rPr>
              <w:t>引导学生思考现金管理的重要性及其可能带来的后果，激发学生的学习兴趣。</w:t>
            </w:r>
          </w:p>
        </w:tc>
      </w:tr>
    </w:tbl>
    <w:tbl>
      <w:tblPr>
        <w:tblStyle w:val="3"/>
        <w:tblW w:w="1003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9"/>
        <w:gridCol w:w="5479"/>
        <w:gridCol w:w="1521"/>
        <w:gridCol w:w="1522"/>
      </w:tblGrid>
      <w:tr w14:paraId="44B6E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1509" w:type="dxa"/>
            <w:vMerge w:val="restart"/>
            <w:shd w:val="clear" w:color="auto" w:fill="FFFFFF" w:themeFill="background1"/>
          </w:tcPr>
          <w:p w14:paraId="0E182CF1">
            <w:pPr>
              <w:jc w:val="center"/>
              <w:rPr>
                <w:rFonts w:ascii="宋体" w:cs="宋体"/>
                <w:b/>
                <w:sz w:val="28"/>
              </w:rPr>
            </w:pPr>
            <w:r>
              <w:rPr>
                <w:rFonts w:hint="eastAsia" w:ascii="宋体" w:cs="宋体"/>
                <w:b/>
                <w:sz w:val="28"/>
              </w:rPr>
              <w:t>教</w:t>
            </w:r>
          </w:p>
          <w:p w14:paraId="606B83EA">
            <w:pPr>
              <w:rPr>
                <w:rFonts w:hint="eastAsia" w:ascii="宋体" w:cs="宋体"/>
                <w:b/>
                <w:sz w:val="28"/>
              </w:rPr>
            </w:pPr>
          </w:p>
          <w:p w14:paraId="3AB56F75">
            <w:pPr>
              <w:jc w:val="center"/>
              <w:rPr>
                <w:rFonts w:cs="Calibri"/>
                <w:b/>
                <w:sz w:val="28"/>
              </w:rPr>
            </w:pPr>
            <w:r>
              <w:rPr>
                <w:rFonts w:hint="eastAsia" w:ascii="宋体" w:cs="宋体"/>
                <w:b/>
                <w:sz w:val="28"/>
              </w:rPr>
              <w:t>学</w:t>
            </w:r>
          </w:p>
          <w:p w14:paraId="24239EFB">
            <w:pPr>
              <w:rPr>
                <w:rFonts w:ascii="宋体" w:cs="Calibri"/>
                <w:b/>
                <w:sz w:val="28"/>
              </w:rPr>
            </w:pPr>
          </w:p>
          <w:p w14:paraId="61877E8C">
            <w:pPr>
              <w:jc w:val="center"/>
              <w:rPr>
                <w:rFonts w:cs="Calibri"/>
                <w:b/>
                <w:sz w:val="28"/>
              </w:rPr>
            </w:pPr>
            <w:r>
              <w:rPr>
                <w:rFonts w:hint="eastAsia" w:ascii="宋体" w:cs="Calibri"/>
                <w:b/>
                <w:sz w:val="28"/>
              </w:rPr>
              <w:t>过</w:t>
            </w:r>
          </w:p>
          <w:p w14:paraId="4B0FAECB">
            <w:pPr>
              <w:jc w:val="center"/>
              <w:rPr>
                <w:rFonts w:ascii="宋体" w:cs="宋体"/>
                <w:b/>
                <w:sz w:val="28"/>
              </w:rPr>
            </w:pPr>
          </w:p>
          <w:p w14:paraId="50E22CCD">
            <w:pPr>
              <w:jc w:val="center"/>
              <w:rPr>
                <w:rFonts w:ascii="宋体" w:cs="宋体"/>
                <w:b/>
                <w:sz w:val="28"/>
              </w:rPr>
            </w:pPr>
            <w:r>
              <w:rPr>
                <w:rFonts w:hint="eastAsia" w:ascii="宋体" w:cs="宋体"/>
                <w:b/>
                <w:sz w:val="28"/>
              </w:rPr>
              <w:t>程</w:t>
            </w:r>
          </w:p>
          <w:p w14:paraId="34130544">
            <w:pPr>
              <w:rPr>
                <w:color w:val="auto"/>
              </w:rPr>
            </w:pPr>
          </w:p>
        </w:tc>
        <w:tc>
          <w:tcPr>
            <w:tcW w:w="5479" w:type="dxa"/>
            <w:shd w:val="clear" w:color="auto" w:fill="FFFFFF" w:themeFill="background1"/>
            <w:vAlign w:val="top"/>
          </w:tcPr>
          <w:p w14:paraId="5937B285">
            <w:pPr>
              <w:pStyle w:val="5"/>
              <w:keepNext w:val="0"/>
              <w:keepLines w:val="0"/>
              <w:pageBreakBefore w:val="0"/>
              <w:widowControl/>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Cs/>
                <w:color w:val="auto"/>
                <w:sz w:val="24"/>
                <w:szCs w:val="24"/>
                <w:lang w:eastAsia="zh-CN"/>
              </w:rPr>
            </w:pPr>
            <w:r>
              <w:rPr>
                <w:rFonts w:hint="eastAsia" w:ascii="宋体" w:hAnsi="宋体" w:eastAsia="宋体" w:cs="宋体"/>
                <w:bCs/>
                <w:color w:val="auto"/>
                <w:kern w:val="2"/>
                <w:sz w:val="24"/>
                <w:szCs w:val="24"/>
                <w:lang w:val="en-US" w:eastAsia="zh-CN" w:bidi="ar-SA"/>
              </w:rPr>
              <w:t>（一）</w:t>
            </w:r>
            <w:r>
              <w:rPr>
                <w:rFonts w:hint="eastAsia" w:ascii="宋体" w:hAnsi="宋体" w:eastAsia="宋体" w:cs="宋体"/>
                <w:bCs/>
                <w:color w:val="auto"/>
                <w:sz w:val="24"/>
                <w:szCs w:val="24"/>
                <w:lang w:val="en-US" w:eastAsia="zh-CN"/>
              </w:rPr>
              <w:t>现金管理概述</w:t>
            </w:r>
          </w:p>
          <w:p w14:paraId="1EA9E76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1.现金的来源</w:t>
            </w:r>
          </w:p>
          <w:p w14:paraId="34421648">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城市轨道交通车站现金主要来源于备用金和票款。</w:t>
            </w:r>
          </w:p>
          <w:p w14:paraId="6F9557C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车站备用金和个人备用金构成了备用金的范畴，此处专注于探讨车站备用金。它是由公司分配给车站的，满足售票业务的需要，涵盖了与银行兑换零钱、为乘客提供找零服务、TVM补币以及为票务员售票提供备用金。在紧急状况下，车站备用金也可作为乘客受伤时的应急资金使用。</w:t>
            </w:r>
          </w:p>
          <w:p w14:paraId="0A7B685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票务收入，也就是票款，指的是车站通过自动售票机、半自动售票机或临时票亭人工方式向乘客出售车票以及进行票卡充值、更新等售票和补票服务时所收取的现金。</w:t>
            </w:r>
          </w:p>
        </w:tc>
        <w:tc>
          <w:tcPr>
            <w:tcW w:w="1521" w:type="dxa"/>
            <w:shd w:val="clear" w:color="auto" w:fill="FFFFFF" w:themeFill="background1"/>
            <w:vAlign w:val="center"/>
          </w:tcPr>
          <w:p w14:paraId="54B51E7D">
            <w:pPr>
              <w:keepNext w:val="0"/>
              <w:keepLines w:val="0"/>
              <w:pageBreakBefore w:val="0"/>
              <w:kinsoku/>
              <w:wordWrap/>
              <w:overflowPunct/>
              <w:topLinePunct w:val="0"/>
              <w:autoSpaceDE/>
              <w:autoSpaceDN/>
              <w:bidi w:val="0"/>
              <w:adjustRightInd/>
              <w:snapToGrid/>
              <w:spacing w:line="240" w:lineRule="auto"/>
              <w:textAlignment w:val="auto"/>
              <w:rPr>
                <w:rFonts w:hint="default"/>
                <w:color w:val="auto"/>
                <w:lang w:val="en-US" w:eastAsia="zh-CN"/>
              </w:rPr>
            </w:pPr>
            <w:r>
              <w:rPr>
                <w:rFonts w:ascii="Times New Roman" w:hAnsi="Times New Roman"/>
                <w:color w:val="auto"/>
                <w:sz w:val="24"/>
                <w:szCs w:val="24"/>
              </w:rPr>
              <w:t>师讲解，学生观</w:t>
            </w:r>
          </w:p>
        </w:tc>
        <w:tc>
          <w:tcPr>
            <w:tcW w:w="1522" w:type="dxa"/>
            <w:shd w:val="clear" w:color="auto" w:fill="FFFFFF" w:themeFill="background1"/>
            <w:vAlign w:val="center"/>
          </w:tcPr>
          <w:p w14:paraId="435F93D3">
            <w:pPr>
              <w:keepNext w:val="0"/>
              <w:keepLines w:val="0"/>
              <w:pageBreakBefore w:val="0"/>
              <w:kinsoku/>
              <w:wordWrap/>
              <w:overflowPunct/>
              <w:topLinePunct w:val="0"/>
              <w:autoSpaceDE/>
              <w:autoSpaceDN/>
              <w:bidi w:val="0"/>
              <w:adjustRightInd/>
              <w:snapToGrid/>
              <w:spacing w:line="240" w:lineRule="auto"/>
              <w:textAlignment w:val="auto"/>
              <w:rPr>
                <w:rFonts w:hint="default"/>
                <w:color w:val="auto"/>
                <w:lang w:val="en-US"/>
              </w:rPr>
            </w:pPr>
            <w:r>
              <w:rPr>
                <w:rFonts w:hint="eastAsia" w:ascii="宋体" w:hAnsi="宋体" w:cs="宋体"/>
                <w:color w:val="auto"/>
                <w:kern w:val="0"/>
                <w:sz w:val="24"/>
                <w:szCs w:val="24"/>
                <w:lang w:val="en-US" w:eastAsia="zh-CN" w:bidi="ar"/>
              </w:rPr>
              <w:t>帮助学生了解</w:t>
            </w:r>
            <w:r>
              <w:rPr>
                <w:rFonts w:hint="eastAsia" w:ascii="宋体" w:hAnsi="宋体" w:eastAsia="宋体" w:cs="宋体"/>
                <w:color w:val="auto"/>
                <w:kern w:val="0"/>
                <w:sz w:val="24"/>
                <w:szCs w:val="24"/>
                <w:lang w:val="en-US" w:eastAsia="zh-CN" w:bidi="ar"/>
              </w:rPr>
              <w:t>城市轨道交通车站现金</w:t>
            </w:r>
            <w:r>
              <w:rPr>
                <w:rFonts w:hint="eastAsia" w:ascii="宋体" w:hAnsi="宋体" w:cs="宋体"/>
                <w:color w:val="auto"/>
                <w:kern w:val="0"/>
                <w:sz w:val="24"/>
                <w:szCs w:val="24"/>
                <w:lang w:val="en-US" w:eastAsia="zh-CN" w:bidi="ar"/>
              </w:rPr>
              <w:t>来源</w:t>
            </w:r>
          </w:p>
        </w:tc>
      </w:tr>
      <w:tr w14:paraId="32497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8C23E43">
            <w:pPr>
              <w:rPr>
                <w:color w:val="auto"/>
              </w:rPr>
            </w:pPr>
          </w:p>
        </w:tc>
        <w:tc>
          <w:tcPr>
            <w:tcW w:w="5479" w:type="dxa"/>
            <w:shd w:val="clear" w:color="auto" w:fill="FFFFFF" w:themeFill="background1"/>
            <w:vAlign w:val="top"/>
          </w:tcPr>
          <w:p w14:paraId="6D5DC75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2.备用金管理</w:t>
            </w:r>
          </w:p>
          <w:p w14:paraId="296E2A98">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负责统计和申请公司旗下各站客服中心备用金的是票务收益室，而管理这些备用金的职责则落在车站身上。票务收益室会将各站初次申请的备用金进行汇总，并上报给财务部以获得批准，随后根据批准的金额向车站配发备用金。车站的客服中心在使用备用金时，必须严格遵守财务规定，确保资金的专用性。如果车站希望调整客服中心备用金的数额，必须先向站务经理提出申请，待批准后，再将申请汇总至票务收益室，由其上报财务部进行核准，最后根据核准的金额进行相应的调整。</w:t>
            </w:r>
          </w:p>
          <w:p w14:paraId="620233E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鉴于不同地区硬币和零钱的使用与流通状况存在差异，获取备用金的渠道也各不相同。例如，在上海和香港，硬币的使用和流通较为普遍，市民倾向于使用硬币支付；而在北京和广州，硬币在市场上的流通量较少，市民更习惯使用纸币。在目前的状况下，备用硬币是各城市使用最频繁的备用金。负责计算各车站备用硬币数量并协调兑换工作的票务收益室，以及管理备用硬币的车站，都必须严格遵守财务规定，确保资金的专款专用。车站需在每周二18：00之前，通过电子邮件向票务收益室提交下周备用硬币的兑换计划。</w:t>
            </w:r>
          </w:p>
          <w:p w14:paraId="0A5DB67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一旦车站备用硬币的数量降至或低于临界值，应立即向票务收益室申请兑换。票务收益室会定期安排车站进行备用硬币的清点。若发现硬币数量减少且在可接受的误差范围内，车站应迅速向票务收益室申请补充。若硬币损失超出了误差范围，公司将指派站务室、财务部、票务收益室等部门的代表组成联合调查组，对硬币损失进行详细调查，并撰写调查报告，提出相应的改进措施。</w:t>
            </w:r>
          </w:p>
        </w:tc>
        <w:tc>
          <w:tcPr>
            <w:tcW w:w="1521" w:type="dxa"/>
            <w:shd w:val="clear" w:color="auto" w:fill="FFFFFF" w:themeFill="background1"/>
            <w:vAlign w:val="center"/>
          </w:tcPr>
          <w:p w14:paraId="4CC87C28">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color w:val="auto"/>
                <w:sz w:val="24"/>
                <w:szCs w:val="24"/>
                <w:lang w:val="en-US"/>
              </w:rPr>
            </w:pPr>
            <w:r>
              <w:rPr>
                <w:rFonts w:ascii="Times New Roman" w:hAnsi="Times New Roman"/>
                <w:color w:val="auto"/>
                <w:sz w:val="24"/>
                <w:szCs w:val="24"/>
              </w:rPr>
              <w:t>师讲解，学生观</w:t>
            </w:r>
          </w:p>
        </w:tc>
        <w:tc>
          <w:tcPr>
            <w:tcW w:w="1522" w:type="dxa"/>
            <w:shd w:val="clear" w:color="auto" w:fill="FFFFFF" w:themeFill="background1"/>
            <w:vAlign w:val="center"/>
          </w:tcPr>
          <w:p w14:paraId="2D5BB55D">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color w:val="auto"/>
                <w:sz w:val="24"/>
                <w:szCs w:val="24"/>
                <w:lang w:val="en-US"/>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备用金管理</w:t>
            </w:r>
            <w:r>
              <w:rPr>
                <w:rFonts w:hint="eastAsia" w:ascii="宋体" w:hAnsi="宋体" w:cs="宋体"/>
                <w:color w:val="auto"/>
                <w:kern w:val="0"/>
                <w:sz w:val="24"/>
                <w:szCs w:val="24"/>
                <w:lang w:val="en-US" w:eastAsia="zh-CN" w:bidi="ar"/>
              </w:rPr>
              <w:t>的知识</w:t>
            </w:r>
          </w:p>
        </w:tc>
      </w:tr>
      <w:tr w14:paraId="2DE04E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7865A4D">
            <w:pPr>
              <w:rPr>
                <w:color w:val="auto"/>
              </w:rPr>
            </w:pPr>
          </w:p>
        </w:tc>
        <w:tc>
          <w:tcPr>
            <w:tcW w:w="5479" w:type="dxa"/>
            <w:shd w:val="clear" w:color="auto" w:fill="FFFFFF" w:themeFill="background1"/>
            <w:vAlign w:val="top"/>
          </w:tcPr>
          <w:p w14:paraId="6F687A4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车站硬币兑换管理流程如图4-7所示。</w:t>
            </w:r>
          </w:p>
          <w:p w14:paraId="0A2FA84E">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1677035" cy="2233295"/>
                  <wp:effectExtent l="0" t="0" r="18415" b="146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4"/>
                          <a:stretch>
                            <a:fillRect/>
                          </a:stretch>
                        </pic:blipFill>
                        <pic:spPr>
                          <a:xfrm>
                            <a:off x="0" y="0"/>
                            <a:ext cx="1677035" cy="2233295"/>
                          </a:xfrm>
                          <a:prstGeom prst="rect">
                            <a:avLst/>
                          </a:prstGeom>
                          <a:noFill/>
                          <a:ln>
                            <a:noFill/>
                          </a:ln>
                        </pic:spPr>
                      </pic:pic>
                    </a:graphicData>
                  </a:graphic>
                </wp:inline>
              </w:drawing>
            </w:r>
          </w:p>
        </w:tc>
        <w:tc>
          <w:tcPr>
            <w:tcW w:w="1521" w:type="dxa"/>
            <w:shd w:val="clear" w:color="auto" w:fill="FFFFFF" w:themeFill="background1"/>
            <w:vAlign w:val="center"/>
          </w:tcPr>
          <w:p w14:paraId="7D4BF56E">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cs="Times New Roman"/>
                <w:color w:val="auto"/>
                <w:kern w:val="2"/>
                <w:sz w:val="24"/>
                <w:szCs w:val="24"/>
                <w:lang w:val="en-US" w:eastAsia="zh-CN" w:bidi="ar-SA"/>
              </w:rPr>
              <w:t>展示图片，学生仔细学习</w:t>
            </w:r>
          </w:p>
        </w:tc>
        <w:tc>
          <w:tcPr>
            <w:tcW w:w="1522" w:type="dxa"/>
            <w:shd w:val="clear" w:color="auto" w:fill="FFFFFF" w:themeFill="background1"/>
            <w:vAlign w:val="center"/>
          </w:tcPr>
          <w:p w14:paraId="76300DBF">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车站硬币兑换管理流程</w:t>
            </w:r>
          </w:p>
        </w:tc>
      </w:tr>
      <w:tr w14:paraId="23AED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D6F46DB">
            <w:pPr>
              <w:rPr>
                <w:color w:val="auto"/>
              </w:rPr>
            </w:pPr>
          </w:p>
        </w:tc>
        <w:tc>
          <w:tcPr>
            <w:tcW w:w="5479" w:type="dxa"/>
            <w:shd w:val="clear" w:color="auto" w:fill="FFFFFF" w:themeFill="background1"/>
            <w:vAlign w:val="top"/>
          </w:tcPr>
          <w:p w14:paraId="636E772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3.票款管理</w:t>
            </w:r>
          </w:p>
          <w:p w14:paraId="36E4915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（1）现金管理。</w:t>
            </w:r>
          </w:p>
          <w:p w14:paraId="28D6339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现金管理流程如图4-8所示。</w:t>
            </w:r>
          </w:p>
          <w:p w14:paraId="07A268D7">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sz w:val="24"/>
                <w:szCs w:val="24"/>
              </w:rPr>
              <w:drawing>
                <wp:inline distT="0" distB="0" distL="114300" distR="114300">
                  <wp:extent cx="1770380" cy="741680"/>
                  <wp:effectExtent l="0" t="0" r="1270"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5"/>
                          <a:stretch>
                            <a:fillRect/>
                          </a:stretch>
                        </pic:blipFill>
                        <pic:spPr>
                          <a:xfrm>
                            <a:off x="0" y="0"/>
                            <a:ext cx="1770380" cy="741680"/>
                          </a:xfrm>
                          <a:prstGeom prst="rect">
                            <a:avLst/>
                          </a:prstGeom>
                          <a:noFill/>
                          <a:ln>
                            <a:noFill/>
                          </a:ln>
                        </pic:spPr>
                      </pic:pic>
                    </a:graphicData>
                  </a:graphic>
                </wp:inline>
              </w:drawing>
            </w:r>
          </w:p>
        </w:tc>
        <w:tc>
          <w:tcPr>
            <w:tcW w:w="1521" w:type="dxa"/>
            <w:shd w:val="clear" w:color="auto" w:fill="FFFFFF" w:themeFill="background1"/>
            <w:vAlign w:val="center"/>
          </w:tcPr>
          <w:p w14:paraId="4E7E65E7">
            <w:pPr>
              <w:keepNext w:val="0"/>
              <w:keepLines w:val="0"/>
              <w:pageBreakBefore w:val="0"/>
              <w:widowControl w:val="0"/>
              <w:kinsoku/>
              <w:wordWrap/>
              <w:overflowPunct/>
              <w:topLinePunct w:val="0"/>
              <w:autoSpaceDE/>
              <w:autoSpaceDN/>
              <w:bidi w:val="0"/>
              <w:adjustRightInd/>
              <w:snapToGrid/>
              <w:spacing w:line="240" w:lineRule="auto"/>
              <w:textAlignment w:val="auto"/>
              <w:rPr>
                <w:color w:val="auto"/>
              </w:rPr>
            </w:pPr>
            <w:r>
              <w:rPr>
                <w:rFonts w:hint="eastAsia" w:cs="Times New Roman"/>
                <w:color w:val="auto"/>
                <w:kern w:val="2"/>
                <w:sz w:val="24"/>
                <w:szCs w:val="24"/>
                <w:lang w:val="en-US" w:eastAsia="zh-CN" w:bidi="ar-SA"/>
              </w:rPr>
              <w:t>展示图片，学生仔细学习</w:t>
            </w:r>
          </w:p>
        </w:tc>
        <w:tc>
          <w:tcPr>
            <w:tcW w:w="1522" w:type="dxa"/>
            <w:shd w:val="clear" w:color="auto" w:fill="FFFFFF" w:themeFill="background1"/>
            <w:vAlign w:val="center"/>
          </w:tcPr>
          <w:p w14:paraId="1CE8A280">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color w:val="auto"/>
                <w:lang w:val="en-US"/>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现金管理流程</w:t>
            </w:r>
          </w:p>
        </w:tc>
      </w:tr>
      <w:tr w14:paraId="1D3FA8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A403635">
            <w:pPr>
              <w:rPr>
                <w:color w:val="auto"/>
              </w:rPr>
            </w:pPr>
          </w:p>
        </w:tc>
        <w:tc>
          <w:tcPr>
            <w:tcW w:w="5479" w:type="dxa"/>
            <w:shd w:val="clear" w:color="auto" w:fill="FFFFFF" w:themeFill="background1"/>
          </w:tcPr>
          <w:p w14:paraId="42382CD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（2）票款收益。</w:t>
            </w:r>
          </w:p>
          <w:p w14:paraId="180278A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车站票款收益主要来源于两个方面：一是自动售票机等自助设备发售车票、充值所得票款；二是，客服中心的售票员利用半自动售票机销售和处理车票所获得的收益。客运值班员必须在每天运营结束之后，对所有票款收益进行整理和清点，计算出当天的运营总收入，并且按照既定计划，及时将这些收益存入企业指定的银行账户。通过云支付进账的票款由后台直接结算，车站不需纳入票款收益管理。</w:t>
            </w:r>
          </w:p>
        </w:tc>
        <w:tc>
          <w:tcPr>
            <w:tcW w:w="1521" w:type="dxa"/>
            <w:shd w:val="clear" w:color="auto" w:fill="FFFFFF" w:themeFill="background1"/>
            <w:vAlign w:val="center"/>
          </w:tcPr>
          <w:p w14:paraId="4549CD7B">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eastAsia="宋体"/>
                <w:color w:val="auto"/>
                <w:lang w:val="en-US" w:eastAsia="zh-CN"/>
              </w:rPr>
            </w:pPr>
            <w:r>
              <w:rPr>
                <w:rFonts w:ascii="Times New Roman" w:hAnsi="Times New Roman"/>
                <w:color w:val="auto"/>
                <w:sz w:val="24"/>
                <w:szCs w:val="24"/>
              </w:rPr>
              <w:t>师讲解，学生观</w:t>
            </w:r>
          </w:p>
        </w:tc>
        <w:tc>
          <w:tcPr>
            <w:tcW w:w="1522" w:type="dxa"/>
            <w:shd w:val="clear" w:color="auto" w:fill="FFFFFF" w:themeFill="background1"/>
            <w:vAlign w:val="center"/>
          </w:tcPr>
          <w:p w14:paraId="29AAEC80">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eastAsia="宋体"/>
                <w:color w:val="auto"/>
                <w:lang w:val="en-US" w:eastAsia="zh-CN"/>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票款收益</w:t>
            </w:r>
            <w:r>
              <w:rPr>
                <w:rFonts w:hint="eastAsia" w:ascii="宋体" w:hAnsi="宋体" w:cs="宋体"/>
                <w:color w:val="auto"/>
                <w:kern w:val="0"/>
                <w:sz w:val="24"/>
                <w:szCs w:val="24"/>
                <w:lang w:val="en-US" w:eastAsia="zh-CN" w:bidi="ar"/>
              </w:rPr>
              <w:t>的知识</w:t>
            </w:r>
          </w:p>
        </w:tc>
      </w:tr>
      <w:tr w14:paraId="197E0C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3C2C6FB">
            <w:pPr>
              <w:rPr>
                <w:color w:val="auto"/>
              </w:rPr>
            </w:pPr>
          </w:p>
        </w:tc>
        <w:tc>
          <w:tcPr>
            <w:tcW w:w="5479" w:type="dxa"/>
            <w:shd w:val="clear" w:color="auto" w:fill="FFFFFF" w:themeFill="background1"/>
          </w:tcPr>
          <w:p w14:paraId="1E9D5BB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车站票款收益流程如图4-9所示。</w:t>
            </w:r>
          </w:p>
          <w:p w14:paraId="501ABE6E">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drawing>
                <wp:inline distT="0" distB="0" distL="114300" distR="114300">
                  <wp:extent cx="1763395" cy="688340"/>
                  <wp:effectExtent l="0" t="0" r="8255" b="1651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6"/>
                          <a:stretch>
                            <a:fillRect/>
                          </a:stretch>
                        </pic:blipFill>
                        <pic:spPr>
                          <a:xfrm>
                            <a:off x="0" y="0"/>
                            <a:ext cx="1763395" cy="688340"/>
                          </a:xfrm>
                          <a:prstGeom prst="rect">
                            <a:avLst/>
                          </a:prstGeom>
                          <a:noFill/>
                          <a:ln>
                            <a:noFill/>
                          </a:ln>
                        </pic:spPr>
                      </pic:pic>
                    </a:graphicData>
                  </a:graphic>
                </wp:inline>
              </w:drawing>
            </w:r>
          </w:p>
        </w:tc>
        <w:tc>
          <w:tcPr>
            <w:tcW w:w="1521" w:type="dxa"/>
            <w:shd w:val="clear" w:color="auto" w:fill="FFFFFF" w:themeFill="background1"/>
            <w:vAlign w:val="center"/>
          </w:tcPr>
          <w:p w14:paraId="2B6BAC41">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cs="Times New Roman"/>
                <w:color w:val="auto"/>
                <w:kern w:val="2"/>
                <w:sz w:val="24"/>
                <w:szCs w:val="24"/>
                <w:lang w:val="en-US" w:eastAsia="zh-CN" w:bidi="ar-SA"/>
              </w:rPr>
              <w:t>展示图片，学生仔细学习</w:t>
            </w:r>
          </w:p>
        </w:tc>
        <w:tc>
          <w:tcPr>
            <w:tcW w:w="1522" w:type="dxa"/>
            <w:shd w:val="clear" w:color="auto" w:fill="FFFFFF" w:themeFill="background1"/>
            <w:vAlign w:val="center"/>
          </w:tcPr>
          <w:p w14:paraId="640895C1">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车站票款收益流程</w:t>
            </w:r>
          </w:p>
        </w:tc>
      </w:tr>
      <w:tr w14:paraId="704BAF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0ADF00A">
            <w:pPr>
              <w:rPr>
                <w:color w:val="auto"/>
              </w:rPr>
            </w:pPr>
          </w:p>
        </w:tc>
        <w:tc>
          <w:tcPr>
            <w:tcW w:w="5479" w:type="dxa"/>
            <w:shd w:val="clear" w:color="auto" w:fill="FFFFFF" w:themeFill="background1"/>
          </w:tcPr>
          <w:p w14:paraId="58A9A5B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（3）票款解行。</w:t>
            </w:r>
          </w:p>
          <w:p w14:paraId="3E85ACC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车站至银行的现金移交主要涉及将车站的票务收入存入企业在银行设立的特定账户，这一过程通常被称为票款解行（或现金解行）。</w:t>
            </w:r>
          </w:p>
          <w:p w14:paraId="198443F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在执行解行操作时，城市轨道交通运营企业需依据各车站的特性以及银行的营业时间来设定解行时间，确保尽可能多的现金能够存入银行，尽量减少夜间留在车站的现金量，从而降低车站收益保管的风险。</w:t>
            </w:r>
          </w:p>
        </w:tc>
        <w:tc>
          <w:tcPr>
            <w:tcW w:w="1521" w:type="dxa"/>
            <w:shd w:val="clear" w:color="auto" w:fill="FFFFFF" w:themeFill="background1"/>
            <w:vAlign w:val="center"/>
          </w:tcPr>
          <w:p w14:paraId="161A6423">
            <w:pPr>
              <w:keepNext w:val="0"/>
              <w:keepLines w:val="0"/>
              <w:pageBreakBefore w:val="0"/>
              <w:widowControl w:val="0"/>
              <w:kinsoku/>
              <w:wordWrap/>
              <w:overflowPunct/>
              <w:topLinePunct w:val="0"/>
              <w:autoSpaceDE/>
              <w:autoSpaceDN/>
              <w:bidi w:val="0"/>
              <w:adjustRightInd/>
              <w:snapToGrid/>
              <w:spacing w:line="240" w:lineRule="auto"/>
              <w:textAlignment w:val="auto"/>
              <w:rPr>
                <w:rFonts w:ascii="Times New Roman" w:hAnsi="Times New Roman"/>
                <w:color w:val="auto"/>
                <w:sz w:val="24"/>
                <w:szCs w:val="24"/>
              </w:rPr>
            </w:pPr>
            <w:r>
              <w:rPr>
                <w:rFonts w:ascii="Times New Roman" w:hAnsi="Times New Roman"/>
                <w:color w:val="auto"/>
                <w:sz w:val="24"/>
                <w:szCs w:val="24"/>
              </w:rPr>
              <w:t>师讲解，学生观</w:t>
            </w:r>
          </w:p>
        </w:tc>
        <w:tc>
          <w:tcPr>
            <w:tcW w:w="1522" w:type="dxa"/>
            <w:shd w:val="clear" w:color="auto" w:fill="FFFFFF" w:themeFill="background1"/>
            <w:vAlign w:val="center"/>
          </w:tcPr>
          <w:p w14:paraId="72E257B5">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color w:val="auto"/>
                <w:sz w:val="24"/>
                <w:szCs w:val="24"/>
                <w:lang w:val="en-US"/>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票款解行</w:t>
            </w:r>
            <w:r>
              <w:rPr>
                <w:rFonts w:hint="eastAsia" w:ascii="宋体" w:hAnsi="宋体" w:cs="宋体"/>
                <w:color w:val="auto"/>
                <w:kern w:val="0"/>
                <w:sz w:val="24"/>
                <w:szCs w:val="24"/>
                <w:lang w:val="en-US" w:eastAsia="zh-CN" w:bidi="ar"/>
              </w:rPr>
              <w:t>的知识</w:t>
            </w:r>
          </w:p>
        </w:tc>
      </w:tr>
      <w:tr w14:paraId="455E2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28CCF22">
            <w:pPr>
              <w:rPr>
                <w:color w:val="auto"/>
              </w:rPr>
            </w:pPr>
          </w:p>
        </w:tc>
        <w:tc>
          <w:tcPr>
            <w:tcW w:w="5479" w:type="dxa"/>
            <w:shd w:val="clear" w:color="auto" w:fill="FFFFFF" w:themeFill="background1"/>
          </w:tcPr>
          <w:p w14:paraId="451BDC1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根据各个城市轨道交通运营企业的实际情况不同，所采用的票款解行方式也不尽相同，目前票款解行方式主要有两种。</w:t>
            </w:r>
          </w:p>
          <w:p w14:paraId="5F35D74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①直接解行：在车站对票款进行清点，随后由车站员工亲自将款项送至银行。银行职员与交款人员共同点验票款，并立即提供现金送款单作为结算凭证。</w:t>
            </w:r>
          </w:p>
        </w:tc>
        <w:tc>
          <w:tcPr>
            <w:tcW w:w="1521" w:type="dxa"/>
            <w:shd w:val="clear" w:color="auto" w:fill="FFFFFF" w:themeFill="background1"/>
            <w:vAlign w:val="center"/>
          </w:tcPr>
          <w:p w14:paraId="1664E4D2">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eastAsia="宋体"/>
                <w:color w:val="auto"/>
                <w:lang w:val="en-US" w:eastAsia="zh-CN"/>
              </w:rPr>
            </w:pPr>
            <w:r>
              <w:rPr>
                <w:rFonts w:ascii="Times New Roman" w:hAnsi="Times New Roman"/>
                <w:color w:val="auto"/>
                <w:sz w:val="24"/>
                <w:szCs w:val="24"/>
              </w:rPr>
              <w:t>师讲解，学生观</w:t>
            </w:r>
          </w:p>
        </w:tc>
        <w:tc>
          <w:tcPr>
            <w:tcW w:w="1522" w:type="dxa"/>
            <w:shd w:val="clear" w:color="auto" w:fill="FFFFFF" w:themeFill="background1"/>
            <w:vAlign w:val="center"/>
          </w:tcPr>
          <w:p w14:paraId="3DD23C40">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eastAsia="宋体"/>
                <w:color w:val="auto"/>
                <w:lang w:val="en-US" w:eastAsia="zh-CN"/>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直接解行</w:t>
            </w:r>
            <w:r>
              <w:rPr>
                <w:rFonts w:hint="eastAsia" w:ascii="宋体" w:hAnsi="宋体" w:cs="宋体"/>
                <w:color w:val="auto"/>
                <w:kern w:val="0"/>
                <w:sz w:val="24"/>
                <w:szCs w:val="24"/>
                <w:lang w:val="en-US" w:eastAsia="zh-CN" w:bidi="ar"/>
              </w:rPr>
              <w:t>的知识</w:t>
            </w:r>
          </w:p>
        </w:tc>
      </w:tr>
      <w:tr w14:paraId="3E08D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9E4ED9C">
            <w:pPr>
              <w:rPr>
                <w:color w:val="auto"/>
              </w:rPr>
            </w:pPr>
          </w:p>
        </w:tc>
        <w:tc>
          <w:tcPr>
            <w:tcW w:w="5479" w:type="dxa"/>
            <w:shd w:val="clear" w:color="auto" w:fill="FFFFFF" w:themeFill="background1"/>
          </w:tcPr>
          <w:p w14:paraId="3C6E6488">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color w:val="auto"/>
                <w:kern w:val="0"/>
                <w:sz w:val="24"/>
                <w:szCs w:val="24"/>
                <w:lang w:val="en-US" w:eastAsia="zh-CN" w:bidi="ar"/>
              </w:rPr>
              <w:t>②集中收取/封装返还（广州地铁）：银行或指定的押运服务公司前往车站收取票款，然后将款项运送至银行。银行职员依照规定对票款进行清点，并在次日提供现金送款单作为结算凭证，从而确认已送款项的金额。这种解款方式被大多数地铁公司所采纳。</w:t>
            </w:r>
          </w:p>
        </w:tc>
        <w:tc>
          <w:tcPr>
            <w:tcW w:w="1521" w:type="dxa"/>
            <w:shd w:val="clear" w:color="auto" w:fill="FFFFFF" w:themeFill="background1"/>
            <w:vAlign w:val="center"/>
          </w:tcPr>
          <w:p w14:paraId="3295572C">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1"/>
                <w:szCs w:val="22"/>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614ADA55">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1"/>
                <w:szCs w:val="22"/>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集中收取/封装返还</w:t>
            </w:r>
            <w:r>
              <w:rPr>
                <w:rFonts w:hint="eastAsia" w:ascii="宋体" w:hAnsi="宋体" w:cs="宋体"/>
                <w:color w:val="auto"/>
                <w:kern w:val="0"/>
                <w:sz w:val="24"/>
                <w:szCs w:val="24"/>
                <w:lang w:val="en-US" w:eastAsia="zh-CN" w:bidi="ar"/>
              </w:rPr>
              <w:t>的知识</w:t>
            </w:r>
          </w:p>
        </w:tc>
      </w:tr>
      <w:tr w14:paraId="0C43DF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B2DAE52">
            <w:pPr>
              <w:rPr>
                <w:color w:val="auto"/>
              </w:rPr>
            </w:pPr>
          </w:p>
        </w:tc>
        <w:tc>
          <w:tcPr>
            <w:tcW w:w="5479" w:type="dxa"/>
            <w:shd w:val="clear" w:color="auto" w:fill="FFFFFF" w:themeFill="background1"/>
          </w:tcPr>
          <w:p w14:paraId="799E2DC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目前轨道交通企业的票款解行方式主要有直接解行和集中站收款两种，如表4-1所示。</w:t>
            </w:r>
          </w:p>
          <w:p w14:paraId="4DB97DA3">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3329940" cy="912495"/>
                  <wp:effectExtent l="0" t="0" r="3810" b="19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7"/>
                          <a:stretch>
                            <a:fillRect/>
                          </a:stretch>
                        </pic:blipFill>
                        <pic:spPr>
                          <a:xfrm>
                            <a:off x="0" y="0"/>
                            <a:ext cx="3329940" cy="912495"/>
                          </a:xfrm>
                          <a:prstGeom prst="rect">
                            <a:avLst/>
                          </a:prstGeom>
                          <a:noFill/>
                          <a:ln>
                            <a:noFill/>
                          </a:ln>
                        </pic:spPr>
                      </pic:pic>
                    </a:graphicData>
                  </a:graphic>
                </wp:inline>
              </w:drawing>
            </w:r>
          </w:p>
        </w:tc>
        <w:tc>
          <w:tcPr>
            <w:tcW w:w="1521" w:type="dxa"/>
            <w:shd w:val="clear" w:color="auto" w:fill="FFFFFF" w:themeFill="background1"/>
            <w:vAlign w:val="center"/>
          </w:tcPr>
          <w:p w14:paraId="79A5172A">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宋体"/>
                <w:color w:val="auto"/>
                <w:sz w:val="24"/>
                <w:szCs w:val="24"/>
                <w:lang w:val="en-US" w:eastAsia="zh-CN"/>
              </w:rPr>
            </w:pPr>
            <w:r>
              <w:rPr>
                <w:rFonts w:hint="eastAsia" w:cs="Times New Roman"/>
                <w:color w:val="auto"/>
                <w:kern w:val="2"/>
                <w:sz w:val="24"/>
                <w:szCs w:val="24"/>
                <w:lang w:val="en-US" w:eastAsia="zh-CN" w:bidi="ar-SA"/>
              </w:rPr>
              <w:t>展示图片，学生仔细学习</w:t>
            </w:r>
          </w:p>
        </w:tc>
        <w:tc>
          <w:tcPr>
            <w:tcW w:w="1522" w:type="dxa"/>
            <w:shd w:val="clear" w:color="auto" w:fill="FFFFFF" w:themeFill="background1"/>
            <w:vAlign w:val="center"/>
          </w:tcPr>
          <w:p w14:paraId="5A514013">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1"/>
                <w:szCs w:val="22"/>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直接解行和集中站收款</w:t>
            </w:r>
            <w:r>
              <w:rPr>
                <w:rFonts w:hint="eastAsia" w:ascii="宋体" w:hAnsi="宋体" w:cs="宋体"/>
                <w:color w:val="auto"/>
                <w:kern w:val="0"/>
                <w:sz w:val="24"/>
                <w:szCs w:val="24"/>
                <w:lang w:val="en-US" w:eastAsia="zh-CN" w:bidi="ar"/>
              </w:rPr>
              <w:t>的优、缺点</w:t>
            </w:r>
          </w:p>
        </w:tc>
      </w:tr>
      <w:tr w14:paraId="34FEF1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578720A">
            <w:pPr>
              <w:rPr>
                <w:color w:val="auto"/>
              </w:rPr>
            </w:pPr>
          </w:p>
        </w:tc>
        <w:tc>
          <w:tcPr>
            <w:tcW w:w="5479" w:type="dxa"/>
            <w:shd w:val="clear" w:color="auto" w:fill="FFFFFF" w:themeFill="background1"/>
          </w:tcPr>
          <w:p w14:paraId="4C74231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（4）票款结算。</w:t>
            </w:r>
          </w:p>
          <w:p w14:paraId="5414699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的票款收入主要包括自动售票机的售票收益、自动充值机的储值票充值收益、票务处半自动售票机的售票与充值收益以及临时售票亭的售票收益等。对于这些票款收入，车站需在每日运营结束之后进行清点、记录、系统输入、封装以及解款。</w:t>
            </w:r>
          </w:p>
        </w:tc>
        <w:tc>
          <w:tcPr>
            <w:tcW w:w="1521" w:type="dxa"/>
            <w:shd w:val="clear" w:color="auto" w:fill="FFFFFF" w:themeFill="background1"/>
            <w:vAlign w:val="center"/>
          </w:tcPr>
          <w:p w14:paraId="25714B2D">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2ACC6657">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票款结算</w:t>
            </w:r>
            <w:r>
              <w:rPr>
                <w:rFonts w:hint="eastAsia" w:ascii="宋体" w:hAnsi="宋体" w:cs="宋体"/>
                <w:color w:val="auto"/>
                <w:kern w:val="0"/>
                <w:sz w:val="24"/>
                <w:szCs w:val="24"/>
                <w:lang w:val="en-US" w:eastAsia="zh-CN" w:bidi="ar"/>
              </w:rPr>
              <w:t>的知识</w:t>
            </w:r>
          </w:p>
        </w:tc>
      </w:tr>
      <w:tr w14:paraId="4C849D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FAB0E5B">
            <w:pPr>
              <w:rPr>
                <w:color w:val="auto"/>
              </w:rPr>
            </w:pPr>
          </w:p>
        </w:tc>
        <w:tc>
          <w:tcPr>
            <w:tcW w:w="5479" w:type="dxa"/>
            <w:shd w:val="clear" w:color="auto" w:fill="FFFFFF" w:themeFill="background1"/>
          </w:tcPr>
          <w:p w14:paraId="4BF0F638">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（5）现金安全管理。</w:t>
            </w:r>
          </w:p>
          <w:p w14:paraId="37F763D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作为城市轨道交通企业现金收益的关键部分，车站备用金和票款收入的安全管理直接关系到企业收益的安全。为了确保现金的安全，城市轨道交通运营企业都设有严格的安全管理规定。</w:t>
            </w:r>
          </w:p>
          <w:p w14:paraId="16D5BE3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在点钞室和票务处，必须安装防盗门，并确保门始终处于锁定状态，钥匙由指定人员负责保管和使用。这些区域应配备监控系统，以便对所有涉及现金的操作进行24小时监控和录像，并保存录像资料以备事后回放审查。除了在岗的票务员工和授权的票务人员，其他人员不得擅自进入点钞室或票务处。如有必要，必须获得值班站长或更高职位人员的批准，并由值班员工陪同方可进入。车站应建立登记簿，记录获准进入人员的姓名、进入原因、进入和离开的时间等信息。当值班员工离开点钞室或站务员离开票务处时，所有在场人员必须一同离开，不得滞留。</w:t>
            </w:r>
          </w:p>
          <w:p w14:paraId="0956C0C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除了现金交接和钱箱清点的时刻，点钞室内的所有现金在其他时段都应存放在保险柜、补币箱、待清点钱箱或已锁闭的尾箱中。站务员在处理现金时，必须确保现金远离乘客，放置在临时票务处的现金也应采取防盗措施。在日常现金运输过程中，现金必须置于锁闭的钱箱、票盒或上锁的手推车内，并由两名站务员共同负责运送，以保障运输过程的安全。此外，车站应每月定期对备用金库存进行盘点，确保账目与实际库存一致。</w:t>
            </w:r>
          </w:p>
        </w:tc>
        <w:tc>
          <w:tcPr>
            <w:tcW w:w="1521" w:type="dxa"/>
            <w:shd w:val="clear" w:color="auto" w:fill="FFFFFF" w:themeFill="background1"/>
            <w:vAlign w:val="center"/>
          </w:tcPr>
          <w:p w14:paraId="6732A37C">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40C9537A">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现金安全管理</w:t>
            </w:r>
            <w:r>
              <w:rPr>
                <w:rFonts w:hint="eastAsia" w:ascii="宋体" w:hAnsi="宋体" w:cs="宋体"/>
                <w:color w:val="auto"/>
                <w:kern w:val="0"/>
                <w:sz w:val="24"/>
                <w:szCs w:val="24"/>
                <w:lang w:val="en-US" w:eastAsia="zh-CN" w:bidi="ar"/>
              </w:rPr>
              <w:t>的知识</w:t>
            </w:r>
          </w:p>
        </w:tc>
      </w:tr>
      <w:tr w14:paraId="0E2DF3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A2052B9">
            <w:pPr>
              <w:rPr>
                <w:color w:val="auto"/>
              </w:rPr>
            </w:pPr>
          </w:p>
        </w:tc>
        <w:tc>
          <w:tcPr>
            <w:tcW w:w="5479" w:type="dxa"/>
            <w:shd w:val="clear" w:color="auto" w:fill="FFFFFF" w:themeFill="background1"/>
          </w:tcPr>
          <w:p w14:paraId="697B1F5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为了保障车站的财务安全，所有现金的封装工作应由参与清点的工作人员来执行，并且必须在监控系统的注视下进行清点和封装。封装人员需要在封条上明确标注封装金额、封装站点、封装人以及封装日期等详细信息。现金的封装可以使用砂纸、信封或钱袋，但封装后必须确保一旦开封就无法恢复原状。</w:t>
            </w:r>
          </w:p>
        </w:tc>
        <w:tc>
          <w:tcPr>
            <w:tcW w:w="1521" w:type="dxa"/>
            <w:shd w:val="clear" w:color="auto" w:fill="FFFFFF" w:themeFill="background1"/>
            <w:vAlign w:val="center"/>
          </w:tcPr>
          <w:p w14:paraId="44CF5DFB">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718616F0">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车票类别</w:t>
            </w:r>
            <w:r>
              <w:rPr>
                <w:rFonts w:hint="eastAsia" w:ascii="宋体" w:hAnsi="宋体" w:cs="宋体"/>
                <w:color w:val="auto"/>
                <w:kern w:val="0"/>
                <w:sz w:val="24"/>
                <w:szCs w:val="24"/>
                <w:lang w:val="en-US" w:eastAsia="zh-CN" w:bidi="ar"/>
              </w:rPr>
              <w:t>的知识</w:t>
            </w:r>
          </w:p>
        </w:tc>
      </w:tr>
      <w:tr w14:paraId="7A92B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1BB8D53">
            <w:pPr>
              <w:rPr>
                <w:color w:val="auto"/>
              </w:rPr>
            </w:pPr>
          </w:p>
        </w:tc>
        <w:tc>
          <w:tcPr>
            <w:tcW w:w="5479" w:type="dxa"/>
            <w:shd w:val="clear" w:color="auto" w:fill="FFFFFF" w:themeFill="background1"/>
          </w:tcPr>
          <w:p w14:paraId="5408E2D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砂纸加封（图4-10）：一般情况下，车站清点纸币时，按各面额分类清点，同一面额纸币每满100张可用砂纸加封。加封前，在封条上注明加封内容。加封时，在砂纸一字型缠绕归整后的纸币中部、接缝处贴上封条。</w:t>
            </w:r>
          </w:p>
          <w:p w14:paraId="28E00B4F">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2221865" cy="880110"/>
                  <wp:effectExtent l="0" t="0" r="6985" b="1524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8"/>
                          <a:stretch>
                            <a:fillRect/>
                          </a:stretch>
                        </pic:blipFill>
                        <pic:spPr>
                          <a:xfrm>
                            <a:off x="0" y="0"/>
                            <a:ext cx="2221865" cy="880110"/>
                          </a:xfrm>
                          <a:prstGeom prst="rect">
                            <a:avLst/>
                          </a:prstGeom>
                          <a:noFill/>
                          <a:ln>
                            <a:noFill/>
                          </a:ln>
                        </pic:spPr>
                      </pic:pic>
                    </a:graphicData>
                  </a:graphic>
                </wp:inline>
              </w:drawing>
            </w:r>
          </w:p>
        </w:tc>
        <w:tc>
          <w:tcPr>
            <w:tcW w:w="1521" w:type="dxa"/>
            <w:shd w:val="clear" w:color="auto" w:fill="FFFFFF" w:themeFill="background1"/>
            <w:vAlign w:val="center"/>
          </w:tcPr>
          <w:p w14:paraId="5ABFBBDC">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展示图片</w:t>
            </w:r>
          </w:p>
          <w:p w14:paraId="644F20F4">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10F0E515">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砂纸加封</w:t>
            </w:r>
            <w:r>
              <w:rPr>
                <w:rFonts w:hint="eastAsia" w:ascii="宋体" w:hAnsi="宋体" w:cs="宋体"/>
                <w:color w:val="auto"/>
                <w:kern w:val="0"/>
                <w:sz w:val="24"/>
                <w:szCs w:val="24"/>
                <w:lang w:val="en-US" w:eastAsia="zh-CN" w:bidi="ar"/>
              </w:rPr>
              <w:t>的知识</w:t>
            </w:r>
          </w:p>
        </w:tc>
      </w:tr>
      <w:tr w14:paraId="3008F5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D236E33">
            <w:pPr>
              <w:rPr>
                <w:color w:val="auto"/>
              </w:rPr>
            </w:pPr>
          </w:p>
        </w:tc>
        <w:tc>
          <w:tcPr>
            <w:tcW w:w="5479" w:type="dxa"/>
            <w:shd w:val="clear" w:color="auto" w:fill="FFFFFF" w:themeFill="background1"/>
          </w:tcPr>
          <w:p w14:paraId="488199D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信封加封（图4-11）。信封能够用来封装纸币和票据。通常情况下，封装纸币仅适用于不超过100张的同一种面额，需按面额整理好后置入信封中进行封装。封装前，应在票务信封的正面标明封装的物品。封装过程中，首先封闭信封口，接着用封条将信封背面的接合处封好，最后在信封背面封条的交界处以及封面上盖上印章。</w:t>
            </w:r>
          </w:p>
          <w:p w14:paraId="0F987E41">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2224405" cy="936625"/>
                  <wp:effectExtent l="0" t="0" r="4445" b="1587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9"/>
                          <a:stretch>
                            <a:fillRect/>
                          </a:stretch>
                        </pic:blipFill>
                        <pic:spPr>
                          <a:xfrm>
                            <a:off x="0" y="0"/>
                            <a:ext cx="2224405" cy="936625"/>
                          </a:xfrm>
                          <a:prstGeom prst="rect">
                            <a:avLst/>
                          </a:prstGeom>
                          <a:noFill/>
                          <a:ln>
                            <a:noFill/>
                          </a:ln>
                        </pic:spPr>
                      </pic:pic>
                    </a:graphicData>
                  </a:graphic>
                </wp:inline>
              </w:drawing>
            </w:r>
          </w:p>
        </w:tc>
        <w:tc>
          <w:tcPr>
            <w:tcW w:w="1521" w:type="dxa"/>
            <w:shd w:val="clear" w:color="auto" w:fill="FFFFFF" w:themeFill="background1"/>
            <w:vAlign w:val="center"/>
          </w:tcPr>
          <w:p w14:paraId="0C3361BD">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展示图片</w:t>
            </w:r>
          </w:p>
          <w:p w14:paraId="42EAFEC5">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131761BB">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信封加封</w:t>
            </w:r>
            <w:r>
              <w:rPr>
                <w:rFonts w:hint="eastAsia" w:ascii="宋体" w:hAnsi="宋体" w:cs="宋体"/>
                <w:color w:val="auto"/>
                <w:kern w:val="0"/>
                <w:sz w:val="24"/>
                <w:szCs w:val="24"/>
                <w:lang w:val="en-US" w:eastAsia="zh-CN" w:bidi="ar"/>
              </w:rPr>
              <w:t>的知识</w:t>
            </w:r>
          </w:p>
        </w:tc>
      </w:tr>
      <w:tr w14:paraId="55F430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514E62F">
            <w:pPr>
              <w:rPr>
                <w:color w:val="auto"/>
              </w:rPr>
            </w:pPr>
          </w:p>
        </w:tc>
        <w:tc>
          <w:tcPr>
            <w:tcW w:w="5479" w:type="dxa"/>
            <w:shd w:val="clear" w:color="auto" w:fill="FFFFFF" w:themeFill="background1"/>
          </w:tcPr>
          <w:p w14:paraId="5420A64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③钱袋加封（图4-12）。通常用于对硬币的加封，纸币需用钱袋加封时，应先用砂纸加封或信封加封后再放入钱袋内加封。加封前，在封条上注明加封内容。加封时，将钱袋口用绳子缠绕扎紧后再用封条缠绕加封。</w:t>
            </w:r>
          </w:p>
          <w:p w14:paraId="77526446">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1936115" cy="1054735"/>
                  <wp:effectExtent l="0" t="0" r="6985" b="1206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0"/>
                          <a:stretch>
                            <a:fillRect/>
                          </a:stretch>
                        </pic:blipFill>
                        <pic:spPr>
                          <a:xfrm>
                            <a:off x="0" y="0"/>
                            <a:ext cx="1936115" cy="1054735"/>
                          </a:xfrm>
                          <a:prstGeom prst="rect">
                            <a:avLst/>
                          </a:prstGeom>
                          <a:noFill/>
                          <a:ln>
                            <a:noFill/>
                          </a:ln>
                        </pic:spPr>
                      </pic:pic>
                    </a:graphicData>
                  </a:graphic>
                </wp:inline>
              </w:drawing>
            </w:r>
          </w:p>
        </w:tc>
        <w:tc>
          <w:tcPr>
            <w:tcW w:w="1521" w:type="dxa"/>
            <w:shd w:val="clear" w:color="auto" w:fill="FFFFFF" w:themeFill="background1"/>
            <w:vAlign w:val="center"/>
          </w:tcPr>
          <w:p w14:paraId="6CA0A860">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展示图片</w:t>
            </w:r>
          </w:p>
          <w:p w14:paraId="57D5126E">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7B797432">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钱袋加封</w:t>
            </w:r>
            <w:r>
              <w:rPr>
                <w:rFonts w:hint="eastAsia" w:ascii="宋体" w:hAnsi="宋体" w:cs="宋体"/>
                <w:color w:val="auto"/>
                <w:kern w:val="0"/>
                <w:sz w:val="24"/>
                <w:szCs w:val="24"/>
                <w:lang w:val="en-US" w:eastAsia="zh-CN" w:bidi="ar"/>
              </w:rPr>
              <w:t>的知识</w:t>
            </w:r>
          </w:p>
        </w:tc>
      </w:tr>
      <w:tr w14:paraId="385B8A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43C08CA">
            <w:pPr>
              <w:rPr>
                <w:color w:val="auto"/>
              </w:rPr>
            </w:pPr>
          </w:p>
        </w:tc>
        <w:tc>
          <w:tcPr>
            <w:tcW w:w="5479" w:type="dxa"/>
            <w:shd w:val="clear" w:color="auto" w:fill="FFFFFF" w:themeFill="background1"/>
          </w:tcPr>
          <w:p w14:paraId="46799F4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现金的开封需客运值班员或以上级别的员工在监控仪监控状态下逐袋开封、清点。监控系统发生故障时车站清点票款、清点兑零硬币、开启及加封解行箱等工作应当由当班客运值班员或以上级别的员工和另一名员工双人清点、双人加封开封。按规定开封清点后若发现金额不符，立即上报上级到票务室确认，差额由加封人负责；如未执行开封清点规定，差额由开封人负责。</w:t>
            </w:r>
          </w:p>
        </w:tc>
        <w:tc>
          <w:tcPr>
            <w:tcW w:w="1521" w:type="dxa"/>
            <w:shd w:val="clear" w:color="auto" w:fill="FFFFFF" w:themeFill="background1"/>
            <w:vAlign w:val="center"/>
          </w:tcPr>
          <w:p w14:paraId="74A5B5A6">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邀请学生阅读，教师进行补充</w:t>
            </w:r>
          </w:p>
        </w:tc>
        <w:tc>
          <w:tcPr>
            <w:tcW w:w="1522" w:type="dxa"/>
            <w:shd w:val="clear" w:color="auto" w:fill="FFFFFF" w:themeFill="background1"/>
            <w:vAlign w:val="center"/>
          </w:tcPr>
          <w:p w14:paraId="0A6CA4B0">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现金的开封</w:t>
            </w:r>
            <w:r>
              <w:rPr>
                <w:rFonts w:hint="eastAsia" w:ascii="宋体" w:hAnsi="宋体" w:cs="宋体"/>
                <w:color w:val="auto"/>
                <w:kern w:val="0"/>
                <w:sz w:val="24"/>
                <w:szCs w:val="24"/>
                <w:lang w:val="en-US" w:eastAsia="zh-CN" w:bidi="ar"/>
              </w:rPr>
              <w:t>的知识</w:t>
            </w:r>
          </w:p>
        </w:tc>
      </w:tr>
      <w:tr w14:paraId="05343E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8954452">
            <w:pPr>
              <w:rPr>
                <w:color w:val="auto"/>
              </w:rPr>
            </w:pPr>
          </w:p>
        </w:tc>
        <w:tc>
          <w:tcPr>
            <w:tcW w:w="5479" w:type="dxa"/>
            <w:shd w:val="clear" w:color="auto" w:fill="FFFFFF" w:themeFill="background1"/>
          </w:tcPr>
          <w:p w14:paraId="0188FA8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（6）假钞、错款的处理。</w:t>
            </w:r>
          </w:p>
          <w:p w14:paraId="62000AE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①车站客服中心处理假币和错款的基本原则。</w:t>
            </w:r>
          </w:p>
          <w:p w14:paraId="01CA991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在车站客服中心进行现金交易时，必须利用相关设备来辨识钞票的真伪。一旦发现假钞或真伪不明的钞票，应立即拒绝接受。在结账或缴款时若发现假币，且该假币未能被车站验钞机检测出来，那么相应的票款损失将由公司负责。反之，如果假币能被正常检出，则损失由相关责任人承担。</w:t>
            </w:r>
          </w:p>
        </w:tc>
        <w:tc>
          <w:tcPr>
            <w:tcW w:w="1521" w:type="dxa"/>
            <w:shd w:val="clear" w:color="auto" w:fill="FFFFFF" w:themeFill="background1"/>
            <w:vAlign w:val="center"/>
          </w:tcPr>
          <w:p w14:paraId="510D7F18">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5CDA5DCC">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车站客服中心处理假币和错款的基本原则</w:t>
            </w:r>
          </w:p>
        </w:tc>
      </w:tr>
      <w:tr w14:paraId="17C0E8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72E43E0">
            <w:pPr>
              <w:rPr>
                <w:color w:val="auto"/>
              </w:rPr>
            </w:pPr>
          </w:p>
        </w:tc>
        <w:tc>
          <w:tcPr>
            <w:tcW w:w="5479" w:type="dxa"/>
            <w:shd w:val="clear" w:color="auto" w:fill="FFFFFF" w:themeFill="background1"/>
          </w:tcPr>
          <w:p w14:paraId="79FDEE7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②假币接收的处理流程。</w:t>
            </w:r>
          </w:p>
          <w:p w14:paraId="31A1CC1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若怀疑收到假币，请要求乘客提供另一张钞票。</w:t>
            </w:r>
          </w:p>
          <w:p w14:paraId="04AC5CA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若乘客坚持不更换，需记录下该币种和编号，请求乘客确认并签字，同时记下其身份证上的地址、号码和联系电话。</w:t>
            </w:r>
          </w:p>
          <w:p w14:paraId="56D2E26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告知乘客此币将送至银行进行鉴别；若确认为假币，乘客需来支付相应票款；若非假币，我们将上门致歉并退还零钱。</w:t>
            </w:r>
          </w:p>
        </w:tc>
        <w:tc>
          <w:tcPr>
            <w:tcW w:w="1521" w:type="dxa"/>
            <w:shd w:val="clear" w:color="auto" w:fill="FFFFFF" w:themeFill="background1"/>
            <w:vAlign w:val="center"/>
          </w:tcPr>
          <w:p w14:paraId="436DF571">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491049A4">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假币接收的处理流程</w:t>
            </w:r>
          </w:p>
        </w:tc>
      </w:tr>
      <w:tr w14:paraId="286786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256C299">
            <w:pPr>
              <w:rPr>
                <w:color w:val="auto"/>
              </w:rPr>
            </w:pPr>
          </w:p>
        </w:tc>
        <w:tc>
          <w:tcPr>
            <w:tcW w:w="5479" w:type="dxa"/>
            <w:shd w:val="clear" w:color="auto" w:fill="FFFFFF" w:themeFill="background1"/>
          </w:tcPr>
          <w:p w14:paraId="528E008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③识别真伪人民币的传统方法。</w:t>
            </w:r>
          </w:p>
          <w:p w14:paraId="35206D5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除了借助钞票真伪检测设备外，为确保万无一失，票务工作者需熟练掌握以下四个传统步骤来辨别人民币的真伪。</w:t>
            </w:r>
          </w:p>
          <w:p w14:paraId="30663FB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“观察”——检查钞票水印是否鲜明，是否具有层次和立体感，同时观察安全线（假币通常在纸张中嵌入一条银白色塑料线，两端有时可见剪齐的断头）。</w:t>
            </w:r>
          </w:p>
          <w:p w14:paraId="27BC104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“触摸”——通过手指反复触摸钞票上的主要图案和“中国人民银行”字样，真币应有凹凸感，而假币则没有。</w:t>
            </w:r>
          </w:p>
          <w:p w14:paraId="3B3BF4F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“倾听”——钞票纸张为特殊材质，坚韧且不易折断，用手抖动时会发出响亮的声音。</w:t>
            </w:r>
          </w:p>
          <w:p w14:paraId="67C6E3E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“检测”——使用紫光灯检查无色荧光图案，用磁性检测仪检查磁性标记，用放大镜观察图案印刷的接线技术及底纹线条。</w:t>
            </w:r>
          </w:p>
        </w:tc>
        <w:tc>
          <w:tcPr>
            <w:tcW w:w="1521" w:type="dxa"/>
            <w:shd w:val="clear" w:color="auto" w:fill="FFFFFF" w:themeFill="background1"/>
            <w:vAlign w:val="center"/>
          </w:tcPr>
          <w:p w14:paraId="4F90CD5E">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邀请学生阅读，教师进行补充</w:t>
            </w:r>
          </w:p>
        </w:tc>
        <w:tc>
          <w:tcPr>
            <w:tcW w:w="1522" w:type="dxa"/>
            <w:shd w:val="clear" w:color="auto" w:fill="FFFFFF" w:themeFill="background1"/>
            <w:vAlign w:val="center"/>
          </w:tcPr>
          <w:p w14:paraId="6E9D916B">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识别真伪人民币的传统方法</w:t>
            </w:r>
          </w:p>
        </w:tc>
      </w:tr>
      <w:tr w14:paraId="2BD15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9A1DEF8">
            <w:pPr>
              <w:rPr>
                <w:color w:val="auto"/>
              </w:rPr>
            </w:pPr>
          </w:p>
        </w:tc>
        <w:tc>
          <w:tcPr>
            <w:tcW w:w="5479" w:type="dxa"/>
            <w:shd w:val="clear" w:color="auto" w:fill="FFFFFF" w:themeFill="background1"/>
          </w:tcPr>
          <w:p w14:paraId="02D35D3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（7）现金的交接。</w:t>
            </w:r>
          </w:p>
          <w:p w14:paraId="669FF29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在AFC中，现金的移交主要包括值班人员之间的现金移交以及车站与银行之间的票款移交。为了确保备用金和票款在移交过程中的安全，车站必须创建移交凭证和统计台账。移交人员应根据移交凭证执行移交程序，并详细记录书面移交信息；如果在移交过程中发现实际金额与移交凭证不符，移交双方应立即进行核查并纠正错误。若无法立即确定问题原因，应按照实际点验的金额进行签收，并在车站的移交记录本上记录详细情况，同时立即上报给上级机构以便进行调查。</w:t>
            </w:r>
          </w:p>
        </w:tc>
        <w:tc>
          <w:tcPr>
            <w:tcW w:w="1521" w:type="dxa"/>
            <w:shd w:val="clear" w:color="auto" w:fill="FFFFFF" w:themeFill="background1"/>
            <w:vAlign w:val="center"/>
          </w:tcPr>
          <w:p w14:paraId="1CB46A14">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6E938951">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现金的交接</w:t>
            </w:r>
            <w:r>
              <w:rPr>
                <w:rFonts w:hint="eastAsia" w:ascii="宋体" w:hAnsi="宋体" w:cs="宋体"/>
                <w:color w:val="auto"/>
                <w:kern w:val="0"/>
                <w:sz w:val="24"/>
                <w:szCs w:val="24"/>
                <w:lang w:val="en-US" w:eastAsia="zh-CN" w:bidi="ar"/>
              </w:rPr>
              <w:t>的知识</w:t>
            </w:r>
          </w:p>
        </w:tc>
      </w:tr>
      <w:tr w14:paraId="2E76D2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414641C">
            <w:pPr>
              <w:rPr>
                <w:color w:val="auto"/>
              </w:rPr>
            </w:pPr>
          </w:p>
        </w:tc>
        <w:tc>
          <w:tcPr>
            <w:tcW w:w="5479" w:type="dxa"/>
            <w:shd w:val="clear" w:color="auto" w:fill="FFFFFF" w:themeFill="background1"/>
          </w:tcPr>
          <w:p w14:paraId="233A954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AFC现金交接的一般管理规定有以下几点：</w:t>
            </w:r>
          </w:p>
          <w:p w14:paraId="7688CDB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①车站AFC票务室（或储票室）内的现金交接基本要求：</w:t>
            </w:r>
          </w:p>
          <w:p w14:paraId="06F9630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a.钞票：在车站票务室的监控范围内，双方需当面清点并确认交接事宜；</w:t>
            </w:r>
          </w:p>
          <w:p w14:paraId="4399E0C8">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b.硬币：在车站票务室的监控范围内，对于已经封装的硬币，确认封装无误且完好无损后，进行整捆交接；对于未封装的零散硬币，则根据实际点数进行交接。</w:t>
            </w:r>
          </w:p>
        </w:tc>
        <w:tc>
          <w:tcPr>
            <w:tcW w:w="1521" w:type="dxa"/>
            <w:shd w:val="clear" w:color="auto" w:fill="FFFFFF" w:themeFill="background1"/>
            <w:vAlign w:val="center"/>
          </w:tcPr>
          <w:p w14:paraId="1E77FE9E">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70F18FD2">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车站AFC票务室（或储票室）内的现金交接基本要求</w:t>
            </w:r>
          </w:p>
        </w:tc>
      </w:tr>
      <w:tr w14:paraId="28DCBB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C18C949">
            <w:pPr>
              <w:rPr>
                <w:color w:val="auto"/>
              </w:rPr>
            </w:pPr>
          </w:p>
        </w:tc>
        <w:tc>
          <w:tcPr>
            <w:tcW w:w="5479" w:type="dxa"/>
            <w:shd w:val="clear" w:color="auto" w:fill="FFFFFF" w:themeFill="background1"/>
          </w:tcPr>
          <w:p w14:paraId="167396D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②售票/补票处备用金的交接基本要求：</w:t>
            </w:r>
          </w:p>
          <w:p w14:paraId="4F525D3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a.双方在交接时需当面核对数目，并在车站的《备用金/福利票领用台账》上签字确认。</w:t>
            </w:r>
          </w:p>
          <w:p w14:paraId="71CFBE5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b.若未依照规定执行清点和确认程序，由此产生的所有不良后果将由接班人员承担。</w:t>
            </w:r>
          </w:p>
        </w:tc>
        <w:tc>
          <w:tcPr>
            <w:tcW w:w="1521" w:type="dxa"/>
            <w:shd w:val="clear" w:color="auto" w:fill="FFFFFF" w:themeFill="background1"/>
            <w:vAlign w:val="center"/>
          </w:tcPr>
          <w:p w14:paraId="0DC740D2">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邀请学生阅读，教师进行补充</w:t>
            </w:r>
          </w:p>
        </w:tc>
        <w:tc>
          <w:tcPr>
            <w:tcW w:w="1522" w:type="dxa"/>
            <w:shd w:val="clear" w:color="auto" w:fill="FFFFFF" w:themeFill="background1"/>
            <w:vAlign w:val="center"/>
          </w:tcPr>
          <w:p w14:paraId="4DA91D5F">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售票/补票处备用金的交接基本要求</w:t>
            </w:r>
          </w:p>
        </w:tc>
      </w:tr>
      <w:tr w14:paraId="52B3F1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C543E37">
            <w:pPr>
              <w:rPr>
                <w:color w:val="auto"/>
              </w:rPr>
            </w:pPr>
          </w:p>
        </w:tc>
        <w:tc>
          <w:tcPr>
            <w:tcW w:w="5479" w:type="dxa"/>
            <w:shd w:val="clear" w:color="auto" w:fill="FFFFFF" w:themeFill="background1"/>
          </w:tcPr>
          <w:p w14:paraId="612CCAA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③AFC综合作业员（客值）之间的现金交接：</w:t>
            </w:r>
          </w:p>
          <w:p w14:paraId="20A9BB8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a.接班AFC综合作业员需在监控区域内与交班AFC综合作业员共同清点车站AFC票务室（或储票室）中所有现金，核对封包数目及金额等，确认一切正确无误后执行签收，并准确填写《车站AFC综合作业岗交接台账》。</w:t>
            </w:r>
          </w:p>
          <w:p w14:paraId="05BBEC6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b.交接清点时若发现现金不符，应立即报告当班值班站长到票务室确认；接班人员按实际数进行签收。若差额原因无法当场查明，则短款由交班人补足，长款随当天票款解行，同时站区应于24小时内上报票务科和安保科等相关部门进行调查处理。</w:t>
            </w:r>
          </w:p>
        </w:tc>
        <w:tc>
          <w:tcPr>
            <w:tcW w:w="1521" w:type="dxa"/>
            <w:shd w:val="clear" w:color="auto" w:fill="FFFFFF" w:themeFill="background1"/>
            <w:vAlign w:val="center"/>
          </w:tcPr>
          <w:p w14:paraId="063961D2">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52D40FF2">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AFC综合作业员（客值）之间的现金交接</w:t>
            </w:r>
          </w:p>
        </w:tc>
      </w:tr>
      <w:tr w14:paraId="725874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F73E3CC">
            <w:pPr>
              <w:rPr>
                <w:color w:val="auto"/>
              </w:rPr>
            </w:pPr>
          </w:p>
        </w:tc>
        <w:tc>
          <w:tcPr>
            <w:tcW w:w="5479" w:type="dxa"/>
            <w:shd w:val="clear" w:color="auto" w:fill="FFFFFF" w:themeFill="background1"/>
          </w:tcPr>
          <w:p w14:paraId="2616670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④AFC综合作业岗（客值）与BOM操作员之间的交接：</w:t>
            </w:r>
          </w:p>
          <w:p w14:paraId="3CA9A95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a.在结账环节，AFC综合作业员与售票、补票人员需在监控下共同清点现金，并根据实际数额填写《车站日交款明细》，双方签字以确认无误，随后现金由AFC综合作业员负责保管。</w:t>
            </w:r>
          </w:p>
          <w:p w14:paraId="1B22D8F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b.当AFC综合作业员从售票员处收取预收款项时，双方应共同清点并交接款项，随后AFC综合作业员在《车站日交款明细》上签字确认。</w:t>
            </w:r>
          </w:p>
          <w:p w14:paraId="361BA44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c.在双方共同清点过程中，若发现假钞，BOM操作员需负责等额补足差额。</w:t>
            </w:r>
          </w:p>
          <w:p w14:paraId="0F77A3D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d.BOM操作员必须依照机打水单上的款项全额交款，多出部分上交，不足部分自行承担。</w:t>
            </w:r>
          </w:p>
        </w:tc>
        <w:tc>
          <w:tcPr>
            <w:tcW w:w="1521" w:type="dxa"/>
            <w:shd w:val="clear" w:color="auto" w:fill="FFFFFF" w:themeFill="background1"/>
            <w:vAlign w:val="center"/>
          </w:tcPr>
          <w:p w14:paraId="4CDEA9AD">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1561D3F5">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AFC综合作业岗（客值）与BOM操作员之间的交接</w:t>
            </w:r>
          </w:p>
        </w:tc>
      </w:tr>
      <w:tr w14:paraId="48DBF6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B88BEA7">
            <w:pPr>
              <w:rPr>
                <w:color w:val="auto"/>
              </w:rPr>
            </w:pPr>
          </w:p>
        </w:tc>
        <w:tc>
          <w:tcPr>
            <w:tcW w:w="5479" w:type="dxa"/>
            <w:shd w:val="clear" w:color="auto" w:fill="FFFFFF" w:themeFill="background1"/>
          </w:tcPr>
          <w:p w14:paraId="303497F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值班员间的现金交接：在车站值班员的交接班过程中，现金交接主要涉及备用金和票款的传递。交接时账目与实际是否一致，直接体现了车站备用金和票款的收益安全状况以及值班员对差额的补交情况。因此，值班员在交接过程中必须严格遵守现金交接管理规定。交接前，交班的值班员应依据相关原始报表，核对交接时的票款收入和备用金数额，并将这些信息记录在交接班本和车站营收日报中，作为交接的凭证。接班的值班员则需要核对交接班本和车站营收日报上的记录是否准确无误，随后实际清点交接的票款和备用金，确保它们与记录相符，并在交接班本上签名确认。</w:t>
            </w:r>
          </w:p>
        </w:tc>
        <w:tc>
          <w:tcPr>
            <w:tcW w:w="1521" w:type="dxa"/>
            <w:shd w:val="clear" w:color="auto" w:fill="FFFFFF" w:themeFill="background1"/>
            <w:vAlign w:val="center"/>
          </w:tcPr>
          <w:p w14:paraId="7BAB064B">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邀请学生阅读，教师进行补充</w:t>
            </w:r>
          </w:p>
        </w:tc>
        <w:tc>
          <w:tcPr>
            <w:tcW w:w="1522" w:type="dxa"/>
            <w:shd w:val="clear" w:color="auto" w:fill="FFFFFF" w:themeFill="background1"/>
            <w:vAlign w:val="center"/>
          </w:tcPr>
          <w:p w14:paraId="4DF7C070">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值班员间的现金交接</w:t>
            </w:r>
          </w:p>
        </w:tc>
      </w:tr>
      <w:tr w14:paraId="64302D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CE63F93">
            <w:pPr>
              <w:rPr>
                <w:color w:val="auto"/>
              </w:rPr>
            </w:pPr>
          </w:p>
        </w:tc>
        <w:tc>
          <w:tcPr>
            <w:tcW w:w="5479" w:type="dxa"/>
            <w:shd w:val="clear" w:color="auto" w:fill="FFFFFF" w:themeFill="background1"/>
          </w:tcPr>
          <w:p w14:paraId="43B858F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车站与银行之间的票款交接如图4-13所示。</w:t>
            </w:r>
          </w:p>
          <w:p w14:paraId="46BECDBD">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2004695" cy="647700"/>
                  <wp:effectExtent l="0" t="0" r="1460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1"/>
                          <a:stretch>
                            <a:fillRect/>
                          </a:stretch>
                        </pic:blipFill>
                        <pic:spPr>
                          <a:xfrm>
                            <a:off x="0" y="0"/>
                            <a:ext cx="2004695" cy="647700"/>
                          </a:xfrm>
                          <a:prstGeom prst="rect">
                            <a:avLst/>
                          </a:prstGeom>
                          <a:noFill/>
                          <a:ln>
                            <a:noFill/>
                          </a:ln>
                        </pic:spPr>
                      </pic:pic>
                    </a:graphicData>
                  </a:graphic>
                </wp:inline>
              </w:drawing>
            </w:r>
          </w:p>
        </w:tc>
        <w:tc>
          <w:tcPr>
            <w:tcW w:w="1521" w:type="dxa"/>
            <w:shd w:val="clear" w:color="auto" w:fill="FFFFFF" w:themeFill="background1"/>
            <w:vAlign w:val="center"/>
          </w:tcPr>
          <w:p w14:paraId="7BB4BF09">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展示图片</w:t>
            </w:r>
          </w:p>
          <w:p w14:paraId="68504E24">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6A6E17B8">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color w:val="auto"/>
                <w:sz w:val="24"/>
                <w:szCs w:val="24"/>
                <w:lang w:val="en-US" w:eastAsia="zh-CN"/>
              </w:rPr>
              <w:t>加深学生对</w:t>
            </w:r>
            <w:r>
              <w:rPr>
                <w:rFonts w:hint="eastAsia" w:ascii="宋体" w:hAnsi="宋体" w:eastAsia="宋体" w:cs="宋体"/>
                <w:color w:val="auto"/>
                <w:kern w:val="0"/>
                <w:sz w:val="24"/>
                <w:szCs w:val="24"/>
                <w:lang w:val="en-US" w:eastAsia="zh-CN" w:bidi="ar"/>
              </w:rPr>
              <w:t>车站与银行之间的票款交接</w:t>
            </w:r>
            <w:r>
              <w:rPr>
                <w:rFonts w:hint="eastAsia" w:ascii="宋体" w:hAnsi="宋体" w:cs="宋体"/>
                <w:color w:val="auto"/>
                <w:kern w:val="0"/>
                <w:sz w:val="24"/>
                <w:szCs w:val="24"/>
                <w:lang w:val="en-US" w:eastAsia="zh-CN" w:bidi="ar"/>
              </w:rPr>
              <w:t>流程的记忆</w:t>
            </w:r>
          </w:p>
        </w:tc>
      </w:tr>
      <w:tr w14:paraId="2B8AD8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955F61F">
            <w:pPr>
              <w:rPr>
                <w:color w:val="auto"/>
              </w:rPr>
            </w:pPr>
          </w:p>
        </w:tc>
        <w:tc>
          <w:tcPr>
            <w:tcW w:w="5479" w:type="dxa"/>
            <w:shd w:val="clear" w:color="auto" w:fill="FFFFFF" w:themeFill="background1"/>
          </w:tcPr>
          <w:p w14:paraId="45AAB7A8">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(二)票据管理流程</w:t>
            </w:r>
          </w:p>
          <w:p w14:paraId="211894A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城市轨道交通系统中应用的一票通报销凭证由企业独立印制，而一卡通发票则由一卡通企业供应。对于报销凭证与发票的保存，必须指定专人进行管理，确保安全存放，防止遗失。各站点需根据报销凭证与发票的现有库存，于每月20日之前向票务收益室提交下个月的需求报告及上交计划。提交的需求数量应确保车站能够满足一个半月的使用需求，并且要保证所有发票存根都得到上交。</w:t>
            </w:r>
          </w:p>
          <w:p w14:paraId="5E8303A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车站在接收配发的报销凭证和发票时，须认真核对凭证种类、数量，确认无误后，方可在《票卡、报销凭证及发票调配单》上签字；接收报销凭证和发票的同时，填写《票卡、报销凭证及发票调配单》，将发票存根交回；领取报销凭证和发票后，及时在《车站票据及管理卡库存管理台账》上填写相关记录。</w:t>
            </w:r>
          </w:p>
        </w:tc>
        <w:tc>
          <w:tcPr>
            <w:tcW w:w="1521" w:type="dxa"/>
            <w:shd w:val="clear" w:color="auto" w:fill="FFFFFF" w:themeFill="background1"/>
            <w:vAlign w:val="center"/>
          </w:tcPr>
          <w:p w14:paraId="29BEC2BB">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邀请学生阅读，教师进行补充</w:t>
            </w:r>
          </w:p>
        </w:tc>
        <w:tc>
          <w:tcPr>
            <w:tcW w:w="1522" w:type="dxa"/>
            <w:shd w:val="clear" w:color="auto" w:fill="FFFFFF" w:themeFill="background1"/>
            <w:vAlign w:val="center"/>
          </w:tcPr>
          <w:p w14:paraId="180369F3">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票据管理流程</w:t>
            </w:r>
            <w:r>
              <w:rPr>
                <w:rFonts w:hint="eastAsia" w:ascii="宋体" w:hAnsi="宋体" w:cs="宋体"/>
                <w:color w:val="auto"/>
                <w:kern w:val="0"/>
                <w:sz w:val="24"/>
                <w:szCs w:val="24"/>
                <w:lang w:val="en-US" w:eastAsia="zh-CN" w:bidi="ar"/>
              </w:rPr>
              <w:t>的知识</w:t>
            </w:r>
          </w:p>
        </w:tc>
      </w:tr>
      <w:tr w14:paraId="7F65AD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EEA91D1">
            <w:pPr>
              <w:rPr>
                <w:color w:val="auto"/>
              </w:rPr>
            </w:pPr>
          </w:p>
        </w:tc>
        <w:tc>
          <w:tcPr>
            <w:tcW w:w="5479" w:type="dxa"/>
            <w:shd w:val="clear" w:color="auto" w:fill="FFFFFF" w:themeFill="background1"/>
          </w:tcPr>
          <w:p w14:paraId="4EAFC14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票据管理流程如图4-14所示。</w:t>
            </w:r>
          </w:p>
          <w:p w14:paraId="2EC1D7DD">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2084070" cy="1534160"/>
                  <wp:effectExtent l="0" t="0" r="11430" b="889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2"/>
                          <a:stretch>
                            <a:fillRect/>
                          </a:stretch>
                        </pic:blipFill>
                        <pic:spPr>
                          <a:xfrm>
                            <a:off x="0" y="0"/>
                            <a:ext cx="2084070" cy="1534160"/>
                          </a:xfrm>
                          <a:prstGeom prst="rect">
                            <a:avLst/>
                          </a:prstGeom>
                          <a:noFill/>
                          <a:ln>
                            <a:noFill/>
                          </a:ln>
                        </pic:spPr>
                      </pic:pic>
                    </a:graphicData>
                  </a:graphic>
                </wp:inline>
              </w:drawing>
            </w:r>
          </w:p>
        </w:tc>
        <w:tc>
          <w:tcPr>
            <w:tcW w:w="1521" w:type="dxa"/>
            <w:shd w:val="clear" w:color="auto" w:fill="FFFFFF" w:themeFill="background1"/>
            <w:vAlign w:val="center"/>
          </w:tcPr>
          <w:p w14:paraId="244F6D30">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展示图片</w:t>
            </w:r>
          </w:p>
          <w:p w14:paraId="08CF98C1">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1F22FEF8">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color w:val="auto"/>
                <w:sz w:val="24"/>
                <w:szCs w:val="24"/>
                <w:lang w:val="en-US" w:eastAsia="zh-CN"/>
              </w:rPr>
              <w:t>加深学生对</w:t>
            </w:r>
            <w:r>
              <w:rPr>
                <w:rFonts w:hint="eastAsia" w:ascii="宋体" w:hAnsi="宋体" w:eastAsia="宋体" w:cs="宋体"/>
                <w:color w:val="auto"/>
                <w:kern w:val="0"/>
                <w:sz w:val="24"/>
                <w:szCs w:val="24"/>
                <w:lang w:val="en-US" w:eastAsia="zh-CN" w:bidi="ar"/>
              </w:rPr>
              <w:t>票据管理流程</w:t>
            </w:r>
            <w:r>
              <w:rPr>
                <w:rFonts w:hint="eastAsia" w:ascii="宋体" w:hAnsi="宋体" w:cs="宋体"/>
                <w:color w:val="auto"/>
                <w:kern w:val="0"/>
                <w:sz w:val="24"/>
                <w:szCs w:val="24"/>
                <w:lang w:val="en-US" w:eastAsia="zh-CN" w:bidi="ar"/>
              </w:rPr>
              <w:t>的记忆</w:t>
            </w:r>
          </w:p>
        </w:tc>
      </w:tr>
      <w:tr w14:paraId="5B2B98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211ADE2">
            <w:pPr>
              <w:rPr>
                <w:color w:val="auto"/>
              </w:rPr>
            </w:pPr>
          </w:p>
        </w:tc>
        <w:tc>
          <w:tcPr>
            <w:tcW w:w="5479" w:type="dxa"/>
            <w:shd w:val="clear" w:color="auto" w:fill="FFFFFF" w:themeFill="background1"/>
          </w:tcPr>
          <w:p w14:paraId="6767AEC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车站间报销凭证及发票调配管理流程如图4-15所示。</w:t>
            </w:r>
          </w:p>
          <w:p w14:paraId="44E22B3F">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2104390" cy="1523365"/>
                  <wp:effectExtent l="0" t="0" r="10160" b="63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3"/>
                          <a:stretch>
                            <a:fillRect/>
                          </a:stretch>
                        </pic:blipFill>
                        <pic:spPr>
                          <a:xfrm>
                            <a:off x="0" y="0"/>
                            <a:ext cx="2104390" cy="1523365"/>
                          </a:xfrm>
                          <a:prstGeom prst="rect">
                            <a:avLst/>
                          </a:prstGeom>
                          <a:noFill/>
                          <a:ln>
                            <a:noFill/>
                          </a:ln>
                        </pic:spPr>
                      </pic:pic>
                    </a:graphicData>
                  </a:graphic>
                </wp:inline>
              </w:drawing>
            </w:r>
          </w:p>
        </w:tc>
        <w:tc>
          <w:tcPr>
            <w:tcW w:w="1521" w:type="dxa"/>
            <w:shd w:val="clear" w:color="auto" w:fill="FFFFFF" w:themeFill="background1"/>
            <w:vAlign w:val="center"/>
          </w:tcPr>
          <w:p w14:paraId="4B31F982">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展示图片</w:t>
            </w:r>
          </w:p>
          <w:p w14:paraId="79C2D94E">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7D540F8A">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加深学生对</w:t>
            </w:r>
            <w:r>
              <w:rPr>
                <w:rFonts w:hint="eastAsia" w:ascii="宋体" w:hAnsi="宋体" w:eastAsia="宋体" w:cs="宋体"/>
                <w:color w:val="auto"/>
                <w:kern w:val="0"/>
                <w:sz w:val="24"/>
                <w:szCs w:val="24"/>
                <w:lang w:val="en-US" w:eastAsia="zh-CN" w:bidi="ar"/>
              </w:rPr>
              <w:t>车站间报销凭证及发票调配管理流程</w:t>
            </w:r>
            <w:r>
              <w:rPr>
                <w:rFonts w:hint="eastAsia" w:ascii="宋体" w:hAnsi="宋体" w:cs="宋体"/>
                <w:color w:val="auto"/>
                <w:kern w:val="0"/>
                <w:sz w:val="24"/>
                <w:szCs w:val="24"/>
                <w:lang w:val="en-US" w:eastAsia="zh-CN" w:bidi="ar"/>
              </w:rPr>
              <w:t>的记忆</w:t>
            </w:r>
          </w:p>
        </w:tc>
      </w:tr>
      <w:tr w14:paraId="7B3556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09314A09">
            <w:pPr>
              <w:rPr>
                <w:color w:val="auto"/>
              </w:rPr>
            </w:pPr>
          </w:p>
        </w:tc>
        <w:tc>
          <w:tcPr>
            <w:tcW w:w="5479" w:type="dxa"/>
            <w:shd w:val="clear" w:color="auto" w:fill="FFFFFF" w:themeFill="background1"/>
          </w:tcPr>
          <w:p w14:paraId="357BDBA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1.城市轨道交通发票</w:t>
            </w:r>
          </w:p>
          <w:p w14:paraId="12248D4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（1）定额发票。</w:t>
            </w:r>
          </w:p>
          <w:p w14:paraId="2CBADDC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车站站长和票款员主要负责定额发票的分发和管理，由票务人员进行领取。通常情况下，票务人员在领取定额发票时需要出示原发票存根进行交换，并负责做好记录等管理工作。在使用“一卡通定额发票”进行交易时，售票员应根据交易金额主动向乘客提供。在购票环节，站务员应根据票面金额主动向乘客提供“车票报销凭证”；而在乘客出站时，若需要“车票报销凭证”，站务员可根据乘客的乘车距离提供相应票价的单程票发票。对于事后索取一卡通发票的乘客，站务员原则上不应提供，并应告知乘客可以在各地铁站充值（购卡）时主动索取。</w:t>
            </w:r>
          </w:p>
        </w:tc>
        <w:tc>
          <w:tcPr>
            <w:tcW w:w="1521" w:type="dxa"/>
            <w:shd w:val="clear" w:color="auto" w:fill="FFFFFF" w:themeFill="background1"/>
            <w:vAlign w:val="center"/>
          </w:tcPr>
          <w:p w14:paraId="7A86C409">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1666DB57">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定额发票</w:t>
            </w:r>
            <w:r>
              <w:rPr>
                <w:rFonts w:hint="eastAsia" w:ascii="宋体" w:hAnsi="宋体" w:cs="宋体"/>
                <w:color w:val="auto"/>
                <w:kern w:val="0"/>
                <w:sz w:val="24"/>
                <w:szCs w:val="24"/>
                <w:lang w:val="en-US" w:eastAsia="zh-CN" w:bidi="ar"/>
              </w:rPr>
              <w:t>的知识</w:t>
            </w:r>
          </w:p>
        </w:tc>
      </w:tr>
      <w:tr w14:paraId="55038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55C65A0">
            <w:pPr>
              <w:rPr>
                <w:color w:val="auto"/>
              </w:rPr>
            </w:pPr>
          </w:p>
        </w:tc>
        <w:tc>
          <w:tcPr>
            <w:tcW w:w="5479" w:type="dxa"/>
            <w:shd w:val="clear" w:color="auto" w:fill="FFFFFF" w:themeFill="background1"/>
          </w:tcPr>
          <w:p w14:paraId="14C42CF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（2）手写发票。</w:t>
            </w:r>
          </w:p>
          <w:p w14:paraId="4452B44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通常情况下，城市轨道交通企业不常采用手写发票，因为其使用起来较为烦琐。手写发票的管理职责归车站站长所有，取用时必须携带先前发票的存根联至客运主管部门进行更换，并确保交接流程的妥善执行。开具手写发票的人员必须依照明确的填写规范，确保信息的准确无误、真实可靠，并且数额相符，确保填写内容的完整性，金额的大小写必须一致。若手写发票需要作废，必须在所有四联上注明“作废”字样，严禁撕毁丢弃（即便已撕毁的发票也应重新粘贴）。车站需确保使用完毕的发票联号完整无缺，不得有遗漏或缺失。作为票卡报销的凭证，发票不得开具与票卡销售无关的报销项目。</w:t>
            </w:r>
          </w:p>
        </w:tc>
        <w:tc>
          <w:tcPr>
            <w:tcW w:w="1521" w:type="dxa"/>
            <w:shd w:val="clear" w:color="auto" w:fill="FFFFFF" w:themeFill="background1"/>
            <w:vAlign w:val="center"/>
          </w:tcPr>
          <w:p w14:paraId="79446EE5">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6621E3F4">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手写发票</w:t>
            </w:r>
            <w:r>
              <w:rPr>
                <w:rFonts w:hint="eastAsia" w:ascii="宋体" w:hAnsi="宋体" w:cs="宋体"/>
                <w:color w:val="auto"/>
                <w:kern w:val="0"/>
                <w:sz w:val="24"/>
                <w:szCs w:val="24"/>
                <w:lang w:val="en-US" w:eastAsia="zh-CN" w:bidi="ar"/>
              </w:rPr>
              <w:t>的知识</w:t>
            </w:r>
          </w:p>
        </w:tc>
      </w:tr>
      <w:tr w14:paraId="75D5B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19B6406">
            <w:pPr>
              <w:rPr>
                <w:color w:val="auto"/>
              </w:rPr>
            </w:pPr>
          </w:p>
        </w:tc>
        <w:tc>
          <w:tcPr>
            <w:tcW w:w="5479" w:type="dxa"/>
            <w:shd w:val="clear" w:color="auto" w:fill="FFFFFF" w:themeFill="background1"/>
          </w:tcPr>
          <w:p w14:paraId="093147D2">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cs="宋体"/>
                <w:color w:val="auto"/>
                <w:kern w:val="0"/>
                <w:sz w:val="24"/>
                <w:szCs w:val="24"/>
                <w:lang w:val="en-US" w:eastAsia="zh-CN" w:bidi="ar"/>
              </w:rPr>
              <w:t>（</w:t>
            </w:r>
            <w:r>
              <w:rPr>
                <w:rFonts w:hint="eastAsia" w:ascii="宋体" w:hAnsi="宋体" w:eastAsia="宋体" w:cs="宋体"/>
                <w:color w:val="auto"/>
                <w:kern w:val="0"/>
                <w:sz w:val="24"/>
                <w:szCs w:val="24"/>
                <w:lang w:val="en-US" w:eastAsia="zh-CN" w:bidi="ar"/>
              </w:rPr>
              <w:t>三</w:t>
            </w:r>
            <w:r>
              <w:rPr>
                <w:rFonts w:hint="eastAsia" w:ascii="宋体" w:hAnsi="宋体" w:cs="宋体"/>
                <w:color w:val="auto"/>
                <w:kern w:val="0"/>
                <w:sz w:val="24"/>
                <w:szCs w:val="24"/>
                <w:lang w:val="en-US" w:eastAsia="zh-CN" w:bidi="ar"/>
              </w:rPr>
              <w:t>）</w:t>
            </w:r>
            <w:r>
              <w:rPr>
                <w:rFonts w:hint="eastAsia" w:ascii="宋体" w:hAnsi="宋体" w:eastAsia="宋体" w:cs="宋体"/>
                <w:color w:val="auto"/>
                <w:kern w:val="0"/>
                <w:sz w:val="24"/>
                <w:szCs w:val="24"/>
                <w:lang w:val="en-US" w:eastAsia="zh-CN" w:bidi="ar"/>
              </w:rPr>
              <w:t>票务备品管理</w:t>
            </w:r>
          </w:p>
          <w:p w14:paraId="16D1F2D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1.票务备品分类</w:t>
            </w:r>
          </w:p>
          <w:p w14:paraId="26ADA0A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常见的票务备品主要有：钱箱、回收钱箱、找零箱、解行箱、票箱、补票箱、回收票箱、废票箱、收银钱箱、售票盒、配票箱、票柜、保险柜，验钞机、纸币清分机、点钞机、点币机、点票机，票务手推车等。这些票务备品按用途不同大致可分为运送类备品、清点类备品和存放类备品三类。</w:t>
            </w:r>
          </w:p>
        </w:tc>
        <w:tc>
          <w:tcPr>
            <w:tcW w:w="1521" w:type="dxa"/>
            <w:shd w:val="clear" w:color="auto" w:fill="FFFFFF" w:themeFill="background1"/>
            <w:vAlign w:val="center"/>
          </w:tcPr>
          <w:p w14:paraId="61185C2F">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459F5694">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常见的票务备品</w:t>
            </w:r>
          </w:p>
        </w:tc>
      </w:tr>
      <w:tr w14:paraId="6157D2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DAD1C45">
            <w:pPr>
              <w:rPr>
                <w:color w:val="auto"/>
              </w:rPr>
            </w:pPr>
          </w:p>
        </w:tc>
        <w:tc>
          <w:tcPr>
            <w:tcW w:w="5479" w:type="dxa"/>
            <w:shd w:val="clear" w:color="auto" w:fill="FFFFFF" w:themeFill="background1"/>
          </w:tcPr>
          <w:p w14:paraId="00C11D4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①运送类备品：主要用于运送车站内的现金和车票。</w:t>
            </w:r>
          </w:p>
          <w:p w14:paraId="5DFCFE4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票务推车：设计用于携带各类钱箱、票箱等重要设备以及现金、车票等贵重物品，具备锁定功能，显著提升了运送设备和贵重物品的安全性与便捷性。</w:t>
            </w:r>
          </w:p>
        </w:tc>
        <w:tc>
          <w:tcPr>
            <w:tcW w:w="1521" w:type="dxa"/>
            <w:shd w:val="clear" w:color="auto" w:fill="FFFFFF" w:themeFill="background1"/>
            <w:vAlign w:val="center"/>
          </w:tcPr>
          <w:p w14:paraId="00C11F28">
            <w:pPr>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olor w:val="auto"/>
                <w:sz w:val="24"/>
                <w:szCs w:val="24"/>
              </w:rPr>
            </w:pPr>
            <w:r>
              <w:rPr>
                <w:rFonts w:hint="eastAsia" w:ascii="Times New Roman" w:hAnsi="Times New Roman"/>
                <w:color w:val="auto"/>
                <w:sz w:val="24"/>
                <w:szCs w:val="24"/>
              </w:rPr>
              <w:t>展示图片</w:t>
            </w:r>
          </w:p>
          <w:p w14:paraId="3E6343E1">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02DA5C62">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运送类备品</w:t>
            </w:r>
            <w:r>
              <w:rPr>
                <w:rFonts w:hint="eastAsia" w:ascii="宋体" w:hAnsi="宋体" w:eastAsia="宋体" w:cs="宋体"/>
                <w:bCs/>
                <w:color w:val="auto"/>
                <w:kern w:val="2"/>
                <w:sz w:val="24"/>
                <w:szCs w:val="24"/>
                <w:lang w:val="en-US" w:eastAsia="zh-CN" w:bidi="ar-SA"/>
              </w:rPr>
              <w:t>的</w:t>
            </w:r>
            <w:r>
              <w:rPr>
                <w:rFonts w:hint="eastAsia" w:ascii="宋体" w:hAnsi="宋体" w:cs="宋体"/>
                <w:color w:val="auto"/>
                <w:kern w:val="0"/>
                <w:sz w:val="24"/>
                <w:szCs w:val="24"/>
                <w:lang w:val="en-US" w:eastAsia="zh-CN" w:bidi="ar"/>
              </w:rPr>
              <w:t>知识</w:t>
            </w:r>
          </w:p>
        </w:tc>
      </w:tr>
      <w:tr w14:paraId="2ACB1D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C84FF0B">
            <w:pPr>
              <w:rPr>
                <w:color w:val="auto"/>
              </w:rPr>
            </w:pPr>
          </w:p>
        </w:tc>
        <w:tc>
          <w:tcPr>
            <w:tcW w:w="5479" w:type="dxa"/>
            <w:shd w:val="clear" w:color="auto" w:fill="FFFFFF" w:themeFill="background1"/>
          </w:tcPr>
          <w:p w14:paraId="7E52365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②清点类备品：主要用于清点车票、现金的数量，及检验钞票的真伪。</w:t>
            </w:r>
          </w:p>
          <w:p w14:paraId="059784A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a.验钞机：用于检验钞票的真伪。</w:t>
            </w:r>
          </w:p>
          <w:p w14:paraId="108E78F8">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b.纸币清分机、点钞机、点币机、点票机：主要用于清点现金和车票的数量，其中纸币清分机能将不同面额的纸币在清点过程中自动按面额分类。</w:t>
            </w:r>
          </w:p>
        </w:tc>
        <w:tc>
          <w:tcPr>
            <w:tcW w:w="1521" w:type="dxa"/>
            <w:shd w:val="clear" w:color="auto" w:fill="FFFFFF" w:themeFill="background1"/>
            <w:vAlign w:val="center"/>
          </w:tcPr>
          <w:p w14:paraId="7173600B">
            <w:pPr>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olor w:val="auto"/>
                <w:sz w:val="24"/>
                <w:szCs w:val="24"/>
              </w:rPr>
            </w:pPr>
            <w:r>
              <w:rPr>
                <w:rFonts w:hint="eastAsia" w:ascii="Times New Roman" w:hAnsi="Times New Roman"/>
                <w:color w:val="auto"/>
                <w:sz w:val="24"/>
                <w:szCs w:val="24"/>
              </w:rPr>
              <w:t>展示图片</w:t>
            </w:r>
          </w:p>
          <w:p w14:paraId="26FAD3AB">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54D576F3">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清点类备品</w:t>
            </w:r>
            <w:r>
              <w:rPr>
                <w:rFonts w:hint="eastAsia" w:ascii="宋体" w:hAnsi="宋体" w:eastAsia="宋体" w:cs="宋体"/>
                <w:bCs/>
                <w:color w:val="auto"/>
                <w:kern w:val="2"/>
                <w:sz w:val="24"/>
                <w:szCs w:val="24"/>
                <w:lang w:val="en-US" w:eastAsia="zh-CN" w:bidi="ar-SA"/>
              </w:rPr>
              <w:t>的</w:t>
            </w:r>
            <w:r>
              <w:rPr>
                <w:rFonts w:hint="eastAsia" w:ascii="宋体" w:hAnsi="宋体" w:cs="宋体"/>
                <w:color w:val="auto"/>
                <w:kern w:val="0"/>
                <w:sz w:val="24"/>
                <w:szCs w:val="24"/>
                <w:lang w:val="en-US" w:eastAsia="zh-CN" w:bidi="ar"/>
              </w:rPr>
              <w:t>知识</w:t>
            </w:r>
          </w:p>
        </w:tc>
      </w:tr>
      <w:tr w14:paraId="558EEE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99A9C1A">
            <w:pPr>
              <w:rPr>
                <w:color w:val="auto"/>
              </w:rPr>
            </w:pPr>
          </w:p>
        </w:tc>
        <w:tc>
          <w:tcPr>
            <w:tcW w:w="5479" w:type="dxa"/>
            <w:shd w:val="clear" w:color="auto" w:fill="FFFFFF" w:themeFill="background1"/>
          </w:tcPr>
          <w:p w14:paraId="20B5C9E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③存放类备品：主要用于安全存放车站内的现金和车票。</w:t>
            </w:r>
          </w:p>
          <w:p w14:paraId="08B1499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a.（回收）钱箱、找零箱、解行箱：主要用于存放现金。</w:t>
            </w:r>
          </w:p>
          <w:p w14:paraId="15354BD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b.票箱、补票箱、回收票箱、废票箱：主要用于存放单程票。</w:t>
            </w:r>
          </w:p>
          <w:p w14:paraId="06938DD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c.收银钱箱、售票盒/配票箱：主要用于存放待售的各类车票。</w:t>
            </w:r>
          </w:p>
          <w:p w14:paraId="6A08C4E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d.票柜、保险柜：主要用于存放暂时不用的车票和现金，置于票务室（点钞室）内。通常应按规定上锁。</w:t>
            </w:r>
          </w:p>
        </w:tc>
        <w:tc>
          <w:tcPr>
            <w:tcW w:w="1521" w:type="dxa"/>
            <w:shd w:val="clear" w:color="auto" w:fill="FFFFFF" w:themeFill="background1"/>
            <w:vAlign w:val="center"/>
          </w:tcPr>
          <w:p w14:paraId="4A49AA0A">
            <w:pPr>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olor w:val="auto"/>
                <w:sz w:val="24"/>
                <w:szCs w:val="24"/>
              </w:rPr>
            </w:pPr>
            <w:r>
              <w:rPr>
                <w:rFonts w:hint="eastAsia" w:ascii="Times New Roman" w:hAnsi="Times New Roman"/>
                <w:color w:val="auto"/>
                <w:sz w:val="24"/>
                <w:szCs w:val="24"/>
              </w:rPr>
              <w:t>展示图片</w:t>
            </w:r>
          </w:p>
          <w:p w14:paraId="08CF971E">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46D9D9A8">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存放类备品</w:t>
            </w:r>
            <w:r>
              <w:rPr>
                <w:rFonts w:hint="eastAsia" w:ascii="宋体" w:hAnsi="宋体" w:eastAsia="宋体" w:cs="宋体"/>
                <w:bCs/>
                <w:color w:val="auto"/>
                <w:kern w:val="2"/>
                <w:sz w:val="24"/>
                <w:szCs w:val="24"/>
                <w:lang w:val="en-US" w:eastAsia="zh-CN" w:bidi="ar-SA"/>
              </w:rPr>
              <w:t>的</w:t>
            </w:r>
            <w:r>
              <w:rPr>
                <w:rFonts w:hint="eastAsia" w:ascii="宋体" w:hAnsi="宋体" w:cs="宋体"/>
                <w:color w:val="auto"/>
                <w:kern w:val="0"/>
                <w:sz w:val="24"/>
                <w:szCs w:val="24"/>
                <w:lang w:val="en-US" w:eastAsia="zh-CN" w:bidi="ar"/>
              </w:rPr>
              <w:t>知识</w:t>
            </w:r>
          </w:p>
        </w:tc>
      </w:tr>
      <w:tr w14:paraId="1AE141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1BD237E">
            <w:pPr>
              <w:rPr>
                <w:color w:val="auto"/>
              </w:rPr>
            </w:pPr>
          </w:p>
        </w:tc>
        <w:tc>
          <w:tcPr>
            <w:tcW w:w="5479" w:type="dxa"/>
            <w:shd w:val="clear" w:color="auto" w:fill="FFFFFF" w:themeFill="background1"/>
          </w:tcPr>
          <w:p w14:paraId="093E343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2.票务备品管理规定</w:t>
            </w:r>
          </w:p>
          <w:p w14:paraId="68B5296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车站的票务备品状况直接关系到票务工作的安全、效率与品质。因此，必须依照既定规定，强化对票务备品的管理，确保其数量齐全且状态优良。</w:t>
            </w:r>
          </w:p>
          <w:p w14:paraId="5D4F7CA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车站收到票务备品后，必须建立一个专门的备品台账，用于追踪票务备品的存储、移交和使用状况。保管人员应依据台账记录，定期对所有票务备品进行清点，核对种类和数量，并检查其状态是否正常，以确保账目与实际相符，且备品状态良好。</w:t>
            </w:r>
          </w:p>
          <w:p w14:paraId="44C1FF9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②车站的票务室（点钞室）内的票务备品由客运值班员或值班站长负责管理；客服中心和临时售票亭的票务备品则由相应班次的操作员（售票员或票务值班员）负责管理。</w:t>
            </w:r>
          </w:p>
          <w:p w14:paraId="0C8BAEB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③备品的申购和更换由车站上级部门（如车务部、客运部）统一负责，解行箱由银行负责更换。</w:t>
            </w:r>
          </w:p>
          <w:p w14:paraId="2A41EF9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④车站在使用票务备品过程中需注意保持备品的清洁，爱护并注意避免其受损。</w:t>
            </w:r>
          </w:p>
        </w:tc>
        <w:tc>
          <w:tcPr>
            <w:tcW w:w="1521" w:type="dxa"/>
            <w:shd w:val="clear" w:color="auto" w:fill="FFFFFF" w:themeFill="background1"/>
            <w:vAlign w:val="center"/>
          </w:tcPr>
          <w:p w14:paraId="3C7532B3">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邀请学生阅读，教师进行补充</w:t>
            </w:r>
          </w:p>
        </w:tc>
        <w:tc>
          <w:tcPr>
            <w:tcW w:w="1522" w:type="dxa"/>
            <w:shd w:val="clear" w:color="auto" w:fill="FFFFFF" w:themeFill="background1"/>
            <w:vAlign w:val="center"/>
          </w:tcPr>
          <w:p w14:paraId="4DBB6B2B">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票务备品管理规定</w:t>
            </w:r>
            <w:r>
              <w:rPr>
                <w:rFonts w:hint="eastAsia" w:ascii="宋体" w:hAnsi="宋体" w:cs="宋体"/>
                <w:color w:val="auto"/>
                <w:kern w:val="0"/>
                <w:sz w:val="24"/>
                <w:szCs w:val="24"/>
                <w:lang w:val="en-US" w:eastAsia="zh-CN" w:bidi="ar"/>
              </w:rPr>
              <w:t>的知识</w:t>
            </w:r>
          </w:p>
        </w:tc>
      </w:tr>
      <w:tr w14:paraId="1EB5C2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4E608B0">
            <w:pPr>
              <w:rPr>
                <w:color w:val="auto"/>
              </w:rPr>
            </w:pPr>
          </w:p>
        </w:tc>
        <w:tc>
          <w:tcPr>
            <w:tcW w:w="5479" w:type="dxa"/>
            <w:shd w:val="clear" w:color="auto" w:fill="FFFFFF" w:themeFill="background1"/>
          </w:tcPr>
          <w:p w14:paraId="315F8C28">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（四）票务钥匙管理</w:t>
            </w:r>
          </w:p>
          <w:p w14:paraId="55B8DED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1.票务钥匙的分类</w:t>
            </w:r>
          </w:p>
          <w:p w14:paraId="01BDC0A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票务钥匙：指票务工作中使用的钥匙。可分为AFC设备钥匙和非AFC设备钥匙两大类。</w:t>
            </w:r>
          </w:p>
        </w:tc>
        <w:tc>
          <w:tcPr>
            <w:tcW w:w="1521" w:type="dxa"/>
            <w:shd w:val="clear" w:color="auto" w:fill="FFFFFF" w:themeFill="background1"/>
            <w:vAlign w:val="center"/>
          </w:tcPr>
          <w:p w14:paraId="2970A578">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56CE6AE9">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票务钥匙的分类</w:t>
            </w:r>
          </w:p>
        </w:tc>
      </w:tr>
      <w:tr w14:paraId="1A72F6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9D1487F">
            <w:pPr>
              <w:rPr>
                <w:color w:val="auto"/>
              </w:rPr>
            </w:pPr>
          </w:p>
        </w:tc>
        <w:tc>
          <w:tcPr>
            <w:tcW w:w="5479" w:type="dxa"/>
            <w:shd w:val="clear" w:color="auto" w:fill="FFFFFF" w:themeFill="background1"/>
          </w:tcPr>
          <w:p w14:paraId="326A0DB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（1）AFC设备钥匙。</w:t>
            </w:r>
          </w:p>
          <w:p w14:paraId="6DCBBE1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主要是指使用车站自动售检票设备所需的各类钥匙。</w:t>
            </w:r>
          </w:p>
          <w:p w14:paraId="748CAD1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①设备门钥匙：TVM门钥匙、闸机门钥匙、TCM门钥匙、BOM侧门钥匙、边门（边门门禁）钥匙、云购票机门钥匙、云闸机门钥匙、自助客服中心门钥匙。</w:t>
            </w:r>
          </w:p>
          <w:p w14:paraId="3F23D818">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②支架钥匙：纸币/硬币钱箱支架钥匙、纸币/硬币补币支架钥匙、补票支架钥匙。</w:t>
            </w:r>
          </w:p>
          <w:p w14:paraId="42816D7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③设备箱钥匙：纸币/硬币钱箱钥匙、纸币找零箱（回收箱）钥匙、硬币补币箱钥匙、BOM电子钱箱钥匙、BOM键盘钥匙、闸机票箱钥匙、云购票机的补票箱钥匙、车票回收箱钥匙。</w:t>
            </w:r>
          </w:p>
        </w:tc>
        <w:tc>
          <w:tcPr>
            <w:tcW w:w="1521" w:type="dxa"/>
            <w:shd w:val="clear" w:color="auto" w:fill="FFFFFF" w:themeFill="background1"/>
            <w:vAlign w:val="center"/>
          </w:tcPr>
          <w:p w14:paraId="0BE99B9B">
            <w:pPr>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olor w:val="auto"/>
                <w:sz w:val="24"/>
                <w:szCs w:val="24"/>
              </w:rPr>
            </w:pPr>
            <w:r>
              <w:rPr>
                <w:rFonts w:hint="eastAsia" w:ascii="Times New Roman" w:hAnsi="Times New Roman"/>
                <w:color w:val="auto"/>
                <w:sz w:val="24"/>
                <w:szCs w:val="24"/>
              </w:rPr>
              <w:t>展示图片</w:t>
            </w:r>
          </w:p>
          <w:p w14:paraId="695F3A51">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344EDCD0">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AFC设备钥匙</w:t>
            </w:r>
            <w:r>
              <w:rPr>
                <w:rFonts w:hint="eastAsia" w:ascii="宋体" w:hAnsi="宋体" w:eastAsia="宋体" w:cs="宋体"/>
                <w:bCs/>
                <w:color w:val="auto"/>
                <w:kern w:val="2"/>
                <w:sz w:val="24"/>
                <w:szCs w:val="24"/>
                <w:lang w:val="en-US" w:eastAsia="zh-CN" w:bidi="ar-SA"/>
              </w:rPr>
              <w:t>的</w:t>
            </w:r>
            <w:r>
              <w:rPr>
                <w:rFonts w:hint="eastAsia" w:ascii="宋体" w:hAnsi="宋体" w:cs="宋体"/>
                <w:color w:val="auto"/>
                <w:kern w:val="0"/>
                <w:sz w:val="24"/>
                <w:szCs w:val="24"/>
                <w:lang w:val="en-US" w:eastAsia="zh-CN" w:bidi="ar"/>
              </w:rPr>
              <w:t>知识</w:t>
            </w:r>
          </w:p>
        </w:tc>
      </w:tr>
      <w:tr w14:paraId="78B22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EBC4808">
            <w:pPr>
              <w:rPr>
                <w:color w:val="auto"/>
              </w:rPr>
            </w:pPr>
          </w:p>
        </w:tc>
        <w:tc>
          <w:tcPr>
            <w:tcW w:w="5479" w:type="dxa"/>
            <w:shd w:val="clear" w:color="auto" w:fill="FFFFFF" w:themeFill="background1"/>
          </w:tcPr>
          <w:p w14:paraId="4FF1F4F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（2）非AFC设备钥匙。</w:t>
            </w:r>
          </w:p>
          <w:p w14:paraId="1F97ED0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①门锁钥匙：包括点钞室及票务室的门锁钥匙、点钞室防盗门的锁匙，以及客服中心的门锁钥匙。</w:t>
            </w:r>
          </w:p>
          <w:p w14:paraId="0FC18A3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②锁柜钥匙：涉及票柜、保险柜、钥匙柜门以及监控系统专用柜的锁匙。</w:t>
            </w:r>
          </w:p>
          <w:p w14:paraId="224602E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③其他钥匙：解行箱、回收箱以及挂锁的钥匙。</w:t>
            </w:r>
          </w:p>
        </w:tc>
        <w:tc>
          <w:tcPr>
            <w:tcW w:w="1521" w:type="dxa"/>
            <w:shd w:val="clear" w:color="auto" w:fill="FFFFFF" w:themeFill="background1"/>
            <w:vAlign w:val="center"/>
          </w:tcPr>
          <w:p w14:paraId="5EA2CF5C">
            <w:pPr>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olor w:val="auto"/>
                <w:sz w:val="24"/>
                <w:szCs w:val="24"/>
              </w:rPr>
            </w:pPr>
            <w:r>
              <w:rPr>
                <w:rFonts w:hint="eastAsia" w:ascii="Times New Roman" w:hAnsi="Times New Roman"/>
                <w:color w:val="auto"/>
                <w:sz w:val="24"/>
                <w:szCs w:val="24"/>
              </w:rPr>
              <w:t>展示图片</w:t>
            </w:r>
          </w:p>
          <w:p w14:paraId="633ED609">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3641EB17">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非AFC设备钥匙</w:t>
            </w:r>
            <w:r>
              <w:rPr>
                <w:rFonts w:hint="eastAsia" w:ascii="宋体" w:hAnsi="宋体" w:eastAsia="宋体" w:cs="宋体"/>
                <w:bCs/>
                <w:color w:val="auto"/>
                <w:kern w:val="2"/>
                <w:sz w:val="24"/>
                <w:szCs w:val="24"/>
                <w:lang w:val="en-US" w:eastAsia="zh-CN" w:bidi="ar-SA"/>
              </w:rPr>
              <w:t>的</w:t>
            </w:r>
            <w:r>
              <w:rPr>
                <w:rFonts w:hint="eastAsia" w:ascii="宋体" w:hAnsi="宋体" w:cs="宋体"/>
                <w:color w:val="auto"/>
                <w:kern w:val="0"/>
                <w:sz w:val="24"/>
                <w:szCs w:val="24"/>
                <w:lang w:val="en-US" w:eastAsia="zh-CN" w:bidi="ar"/>
              </w:rPr>
              <w:t>知识</w:t>
            </w:r>
          </w:p>
        </w:tc>
      </w:tr>
      <w:tr w14:paraId="1EE2B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1B891AD">
            <w:pPr>
              <w:rPr>
                <w:color w:val="auto"/>
              </w:rPr>
            </w:pPr>
          </w:p>
        </w:tc>
        <w:tc>
          <w:tcPr>
            <w:tcW w:w="5479" w:type="dxa"/>
            <w:shd w:val="clear" w:color="auto" w:fill="FFFFFF" w:themeFill="background1"/>
          </w:tcPr>
          <w:p w14:paraId="7C9B990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2.票务钥匙的保管规定</w:t>
            </w:r>
          </w:p>
          <w:p w14:paraId="3D06250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①日常使用的票务钥匙由值班员或以上级别人员保管，日常无须使用的备用钥匙由站长助理或站长加封后交值班员或以上级别人员保管。备用钥匙一般仅限于工作人员不慎遗失或损坏票务钥匙时使用。</w:t>
            </w:r>
          </w:p>
          <w:p w14:paraId="4934CB7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②保险柜钥匙需放置于票务室（点钞室）内锁闭的钥匙柜中，由客运值班员或值班站长保管。</w:t>
            </w:r>
          </w:p>
          <w:p w14:paraId="0F41057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③依据实际工作需求和收益安全的管理需求，某些直接关联到收益安全的操作步骤，必须由两位持有不同钥匙的人员共同执行，以此实现相互监督。</w:t>
            </w:r>
          </w:p>
          <w:p w14:paraId="45968AE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④一旦钥匙被借出，借用者需确保钥匙的保管和使用安全，严禁将钥匙随意转借给他人。</w:t>
            </w:r>
          </w:p>
          <w:p w14:paraId="0B726FE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⑤票务钥匙保管、交接及增减情况均需设立台账记录，并定期对钥匙的保管情况进行盘点。</w:t>
            </w:r>
          </w:p>
        </w:tc>
        <w:tc>
          <w:tcPr>
            <w:tcW w:w="1521" w:type="dxa"/>
            <w:shd w:val="clear" w:color="auto" w:fill="FFFFFF" w:themeFill="background1"/>
            <w:vAlign w:val="center"/>
          </w:tcPr>
          <w:p w14:paraId="4423FC61">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邀请学生阅读，教师进行补充</w:t>
            </w:r>
          </w:p>
        </w:tc>
        <w:tc>
          <w:tcPr>
            <w:tcW w:w="1522" w:type="dxa"/>
            <w:shd w:val="clear" w:color="auto" w:fill="FFFFFF" w:themeFill="background1"/>
            <w:vAlign w:val="center"/>
          </w:tcPr>
          <w:p w14:paraId="3198F2A8">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票务钥匙的保管规定</w:t>
            </w:r>
          </w:p>
        </w:tc>
      </w:tr>
      <w:tr w14:paraId="0F797B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7D641C54">
            <w:pPr>
              <w:rPr>
                <w:color w:val="auto"/>
              </w:rPr>
            </w:pPr>
          </w:p>
        </w:tc>
        <w:tc>
          <w:tcPr>
            <w:tcW w:w="5479" w:type="dxa"/>
            <w:shd w:val="clear" w:color="auto" w:fill="FFFFFF" w:themeFill="background1"/>
          </w:tcPr>
          <w:p w14:paraId="6B7627E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3.票务钥匙的使用规定</w:t>
            </w:r>
          </w:p>
          <w:p w14:paraId="0ACCDFC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①不得单人同时使用以下票务钥匙，以保证收益安全：</w:t>
            </w:r>
          </w:p>
          <w:p w14:paraId="2B4A541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a.TVM门钥匙与能取出各类钱箱的钥匙（比如：纸币钱箱支架钥匙及纸币钱箱钥匙）。</w:t>
            </w:r>
          </w:p>
          <w:p w14:paraId="3C03B88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b.票务室（点钞室）门、防盗门钥匙与各类钱箱钥匙。但某些地铁公司允许单人在监控摄录状态下清点钱箱的除外。</w:t>
            </w:r>
          </w:p>
          <w:p w14:paraId="2A92AC4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②客服中心门钥匙供售票员在运营售票期间使用。</w:t>
            </w:r>
          </w:p>
          <w:p w14:paraId="0D69A0A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③AFC维修人员对TVM进行故障处理时，由车站人员持TVM维修钥匙配合维修。</w:t>
            </w:r>
          </w:p>
          <w:p w14:paraId="43D8BAD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④纸币模块钥匙仅供维修人员使用，使用完毕由维修人员和值班站长共同加封后交由车站保管。</w:t>
            </w:r>
          </w:p>
          <w:p w14:paraId="2141CCF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⑤使用完毕的票务钥匙应当立刻归还，遵循“谁借出、谁归还”的原则。</w:t>
            </w:r>
          </w:p>
          <w:p w14:paraId="7FBCAF05">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⑥运营结束后保管人需对所保管的钥匙进行清点，确认全部归还。</w:t>
            </w:r>
          </w:p>
        </w:tc>
        <w:tc>
          <w:tcPr>
            <w:tcW w:w="1521" w:type="dxa"/>
            <w:shd w:val="clear" w:color="auto" w:fill="FFFFFF" w:themeFill="background1"/>
            <w:vAlign w:val="center"/>
          </w:tcPr>
          <w:p w14:paraId="65F62E12">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邀请学生阅读，教师进行补充</w:t>
            </w:r>
          </w:p>
        </w:tc>
        <w:tc>
          <w:tcPr>
            <w:tcW w:w="1522" w:type="dxa"/>
            <w:shd w:val="clear" w:color="auto" w:fill="FFFFFF" w:themeFill="background1"/>
            <w:vAlign w:val="center"/>
          </w:tcPr>
          <w:p w14:paraId="6F4D8DCC">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票务钥匙的使用规定</w:t>
            </w:r>
          </w:p>
        </w:tc>
      </w:tr>
      <w:tr w14:paraId="304AE7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26CDB70">
            <w:pPr>
              <w:rPr>
                <w:color w:val="auto"/>
              </w:rPr>
            </w:pPr>
          </w:p>
        </w:tc>
        <w:tc>
          <w:tcPr>
            <w:tcW w:w="5479" w:type="dxa"/>
            <w:shd w:val="clear" w:color="auto" w:fill="FFFFFF" w:themeFill="background1"/>
          </w:tcPr>
          <w:p w14:paraId="0A3BF2A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4.遗失票务钥匙的处理</w:t>
            </w:r>
          </w:p>
          <w:p w14:paraId="55FB9CC8">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若在保管或使用过程中发现票务钥匙遗失，车站需立即展开调查并向上级汇报，同时在台账中记录相关情况。除了自动售检票设备的通用钥匙外，若遗失其他票务钥匙，车站应迅速向上级请求更换相应的锁具。</w:t>
            </w:r>
          </w:p>
        </w:tc>
        <w:tc>
          <w:tcPr>
            <w:tcW w:w="1521" w:type="dxa"/>
            <w:shd w:val="clear" w:color="auto" w:fill="FFFFFF" w:themeFill="background1"/>
            <w:vAlign w:val="center"/>
          </w:tcPr>
          <w:p w14:paraId="33479768">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7ED73D44">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遗失票务钥匙的处理</w:t>
            </w:r>
          </w:p>
        </w:tc>
      </w:tr>
      <w:tr w14:paraId="7643D9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C341708">
            <w:pPr>
              <w:rPr>
                <w:color w:val="auto"/>
              </w:rPr>
            </w:pPr>
          </w:p>
        </w:tc>
        <w:tc>
          <w:tcPr>
            <w:tcW w:w="5479" w:type="dxa"/>
            <w:shd w:val="clear" w:color="auto" w:fill="FFFFFF" w:themeFill="background1"/>
          </w:tcPr>
          <w:p w14:paraId="7BA4617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5.票务钥匙的交接规定</w:t>
            </w:r>
          </w:p>
          <w:p w14:paraId="38298CE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票务钥匙的传递发生在保管人员之间或保管人员与使用者之间。AFC设备钥匙等日常使用的钥匙通常由使用者与当班的保管人员进行传递。而票务室门钥匙、文件柜钥匙、钥匙柜门钥匙等，则应在每班客运值班人员、行车值班人员或值班站长之间进行面对面的交接。</w:t>
            </w:r>
          </w:p>
          <w:p w14:paraId="28B45D5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车站上级相关部门需根据钥匙交接情况建立交接凭证及统计台账。交接凭证的必要内容应包含：钥匙种类、数量、交接时间、交接人；统计台账的必要内容应包含：钥匙种类、数量、使用或保管地点；具体内容和格式可由相关部门根据实际情况自行拟定。</w:t>
            </w:r>
          </w:p>
          <w:p w14:paraId="5992F036">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③在进行钥匙交接时，负责人员必须依照交接凭据当面核对钥匙的种类和数目，并在确认无差错的情况下完成交接流程。若在交接过程中发现钥匙存在错误或封条破损等不正常现象，交接双方应立刻进行核查；若无法确定问题原因，则应立即通知上级部门，以便启动调查程序。</w:t>
            </w:r>
          </w:p>
        </w:tc>
        <w:tc>
          <w:tcPr>
            <w:tcW w:w="1521" w:type="dxa"/>
            <w:shd w:val="clear" w:color="auto" w:fill="FFFFFF" w:themeFill="background1"/>
            <w:vAlign w:val="center"/>
          </w:tcPr>
          <w:p w14:paraId="64563EB4">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ascii="Times New Roman" w:hAnsi="Times New Roman"/>
                <w:color w:val="auto"/>
                <w:sz w:val="24"/>
                <w:szCs w:val="24"/>
                <w:lang w:val="en-US" w:eastAsia="zh-CN"/>
              </w:rPr>
              <w:t>邀请学生阅读，教师进行补充</w:t>
            </w:r>
          </w:p>
        </w:tc>
        <w:tc>
          <w:tcPr>
            <w:tcW w:w="1522" w:type="dxa"/>
            <w:shd w:val="clear" w:color="auto" w:fill="FFFFFF" w:themeFill="background1"/>
            <w:vAlign w:val="center"/>
          </w:tcPr>
          <w:p w14:paraId="3CCA8134">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票务钥匙的交接规定</w:t>
            </w:r>
          </w:p>
        </w:tc>
      </w:tr>
      <w:tr w14:paraId="64FC2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EDFB567">
            <w:pPr>
              <w:rPr>
                <w:color w:val="auto"/>
              </w:rPr>
            </w:pPr>
          </w:p>
        </w:tc>
        <w:tc>
          <w:tcPr>
            <w:tcW w:w="5479" w:type="dxa"/>
            <w:shd w:val="clear" w:color="auto" w:fill="FFFFFF" w:themeFill="background1"/>
          </w:tcPr>
          <w:p w14:paraId="0BA4117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6.票务钥匙的更换</w:t>
            </w:r>
          </w:p>
          <w:p w14:paraId="71B2613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车站票务钥匙自然折损或折断时，由车站上级相应部门负责钥匙的更换，已破损钥匙的处理按照相关规定执行，不得随意丢弃、私自处理。</w:t>
            </w:r>
          </w:p>
        </w:tc>
        <w:tc>
          <w:tcPr>
            <w:tcW w:w="1521" w:type="dxa"/>
            <w:shd w:val="clear" w:color="auto" w:fill="FFFFFF" w:themeFill="background1"/>
            <w:vAlign w:val="center"/>
          </w:tcPr>
          <w:p w14:paraId="18B1FBC8">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5006AA68">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票务钥匙的更换</w:t>
            </w:r>
          </w:p>
        </w:tc>
      </w:tr>
      <w:tr w14:paraId="41FD5E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E45D737">
            <w:pPr>
              <w:rPr>
                <w:color w:val="auto"/>
              </w:rPr>
            </w:pPr>
          </w:p>
        </w:tc>
        <w:tc>
          <w:tcPr>
            <w:tcW w:w="5479" w:type="dxa"/>
            <w:shd w:val="clear" w:color="auto" w:fill="FFFFFF" w:themeFill="background1"/>
          </w:tcPr>
          <w:p w14:paraId="7B27FA16">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sz w:val="24"/>
                <w:szCs w:val="24"/>
              </w:rPr>
            </w:pPr>
            <w:r>
              <w:rPr>
                <w:rFonts w:hint="eastAsia" w:ascii="宋体" w:hAnsi="宋体" w:cs="宋体"/>
                <w:color w:val="auto"/>
                <w:kern w:val="0"/>
                <w:sz w:val="24"/>
                <w:szCs w:val="24"/>
                <w:lang w:val="en-US" w:eastAsia="zh-CN" w:bidi="ar"/>
              </w:rPr>
              <w:t>（</w:t>
            </w:r>
            <w:r>
              <w:rPr>
                <w:rFonts w:hint="eastAsia" w:ascii="宋体" w:hAnsi="宋体" w:eastAsia="宋体" w:cs="宋体"/>
                <w:color w:val="auto"/>
                <w:kern w:val="0"/>
                <w:sz w:val="24"/>
                <w:szCs w:val="24"/>
                <w:lang w:val="en-US" w:eastAsia="zh-CN" w:bidi="ar"/>
              </w:rPr>
              <w:t>五</w:t>
            </w:r>
            <w:r>
              <w:rPr>
                <w:rFonts w:hint="eastAsia" w:ascii="宋体" w:hAnsi="宋体" w:cs="宋体"/>
                <w:color w:val="auto"/>
                <w:kern w:val="0"/>
                <w:sz w:val="24"/>
                <w:szCs w:val="24"/>
                <w:lang w:val="en-US" w:eastAsia="zh-CN" w:bidi="ar"/>
              </w:rPr>
              <w:t>）</w:t>
            </w:r>
            <w:r>
              <w:rPr>
                <w:rFonts w:hint="eastAsia" w:ascii="宋体" w:hAnsi="宋体" w:eastAsia="宋体" w:cs="宋体"/>
                <w:color w:val="auto"/>
                <w:kern w:val="0"/>
                <w:sz w:val="24"/>
                <w:szCs w:val="24"/>
                <w:lang w:val="en-US" w:eastAsia="zh-CN" w:bidi="ar"/>
              </w:rPr>
              <w:t>报表/台账管理</w:t>
            </w:r>
          </w:p>
          <w:p w14:paraId="7AD76A7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票务工作在城市轨道交通企业中极为复杂，每日均需对当日的票务进行整理，并完成相应的台账报表填写。这些票务报表记录了车站现金的交接、收益的汇总、车票的交接、发售以及站存情况，它们不仅是结算部门对站务员进行收益结算的原始依据，而且在车站的票务管理中扮演着至关重要的角色。</w:t>
            </w:r>
          </w:p>
        </w:tc>
        <w:tc>
          <w:tcPr>
            <w:tcW w:w="1521" w:type="dxa"/>
            <w:shd w:val="clear" w:color="auto" w:fill="FFFFFF" w:themeFill="background1"/>
            <w:vAlign w:val="center"/>
          </w:tcPr>
          <w:p w14:paraId="6CE1A581">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2C50AC2F">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报表/台账管理的</w:t>
            </w:r>
            <w:r>
              <w:rPr>
                <w:rFonts w:hint="eastAsia" w:ascii="宋体" w:hAnsi="宋体" w:cs="宋体"/>
                <w:color w:val="auto"/>
                <w:kern w:val="0"/>
                <w:sz w:val="24"/>
                <w:szCs w:val="24"/>
                <w:lang w:val="en-US" w:eastAsia="zh-CN" w:bidi="ar"/>
              </w:rPr>
              <w:t>知识</w:t>
            </w:r>
          </w:p>
        </w:tc>
      </w:tr>
      <w:tr w14:paraId="7BD181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21B7F43">
            <w:pPr>
              <w:rPr>
                <w:color w:val="auto"/>
              </w:rPr>
            </w:pPr>
          </w:p>
        </w:tc>
        <w:tc>
          <w:tcPr>
            <w:tcW w:w="5479" w:type="dxa"/>
            <w:shd w:val="clear" w:color="auto" w:fill="FFFFFF" w:themeFill="background1"/>
          </w:tcPr>
          <w:p w14:paraId="7E0BB3B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1.车站票务报表/台账的种类</w:t>
            </w:r>
          </w:p>
          <w:p w14:paraId="7828126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由于各城市轨道交通公司的管理模式与要求不同，所以票务报表/台账的类型、设计和名称也有所不同，但他们的用途却类似。下面主要以国内几个地铁公司为例说明其具体用途。</w:t>
            </w:r>
          </w:p>
          <w:p w14:paraId="434CDC1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①用于反映售票员票款收支情况的报表/台账。</w:t>
            </w:r>
          </w:p>
          <w:p w14:paraId="284501A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售票员的结算报表是其在结算过程中所记录的文档。此报表在客运值班员向售票员提供车票、票据、备用金以及中途追加的车票和备用金时，以及售票员向客运值班员提交预收款和结账时使用。它记录了售票员收到的总金额和所分配的备用金总额，以便于核算售票员的票款收入。</w:t>
            </w:r>
          </w:p>
        </w:tc>
        <w:tc>
          <w:tcPr>
            <w:tcW w:w="1521" w:type="dxa"/>
            <w:shd w:val="clear" w:color="auto" w:fill="FFFFFF" w:themeFill="background1"/>
            <w:vAlign w:val="center"/>
          </w:tcPr>
          <w:p w14:paraId="244B9E3C">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0C9E76DA">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用于反映售票员票款收支情况的报表/台账</w:t>
            </w:r>
            <w:r>
              <w:rPr>
                <w:rFonts w:hint="eastAsia" w:ascii="宋体" w:hAnsi="宋体" w:cs="宋体"/>
                <w:color w:val="auto"/>
                <w:kern w:val="0"/>
                <w:sz w:val="24"/>
                <w:szCs w:val="24"/>
                <w:lang w:val="en-US" w:eastAsia="zh-CN" w:bidi="ar"/>
              </w:rPr>
              <w:t>的知识</w:t>
            </w:r>
          </w:p>
        </w:tc>
      </w:tr>
      <w:tr w14:paraId="48F435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304AEF68">
            <w:pPr>
              <w:rPr>
                <w:color w:val="auto"/>
              </w:rPr>
            </w:pPr>
          </w:p>
        </w:tc>
        <w:tc>
          <w:tcPr>
            <w:tcW w:w="5479" w:type="dxa"/>
            <w:shd w:val="clear" w:color="auto" w:fill="FFFFFF" w:themeFill="background1"/>
          </w:tcPr>
          <w:p w14:paraId="4792067B">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《售票员日营收结算单》如图4-16所示。</w:t>
            </w:r>
          </w:p>
          <w:p w14:paraId="2499F7C7">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3341370" cy="1934845"/>
                  <wp:effectExtent l="0" t="0" r="11430" b="82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4"/>
                          <a:stretch>
                            <a:fillRect/>
                          </a:stretch>
                        </pic:blipFill>
                        <pic:spPr>
                          <a:xfrm>
                            <a:off x="0" y="0"/>
                            <a:ext cx="3341370" cy="1934845"/>
                          </a:xfrm>
                          <a:prstGeom prst="rect">
                            <a:avLst/>
                          </a:prstGeom>
                          <a:noFill/>
                          <a:ln>
                            <a:noFill/>
                          </a:ln>
                        </pic:spPr>
                      </pic:pic>
                    </a:graphicData>
                  </a:graphic>
                </wp:inline>
              </w:drawing>
            </w:r>
          </w:p>
        </w:tc>
        <w:tc>
          <w:tcPr>
            <w:tcW w:w="1521" w:type="dxa"/>
            <w:shd w:val="clear" w:color="auto" w:fill="FFFFFF" w:themeFill="background1"/>
            <w:vAlign w:val="center"/>
          </w:tcPr>
          <w:p w14:paraId="2079B7FA">
            <w:pPr>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olor w:val="auto"/>
                <w:sz w:val="24"/>
                <w:szCs w:val="24"/>
              </w:rPr>
            </w:pPr>
            <w:r>
              <w:rPr>
                <w:rFonts w:hint="eastAsia" w:ascii="Times New Roman" w:hAnsi="Times New Roman"/>
                <w:color w:val="auto"/>
                <w:sz w:val="24"/>
                <w:szCs w:val="24"/>
              </w:rPr>
              <w:t>展示图片</w:t>
            </w:r>
          </w:p>
          <w:p w14:paraId="7D8C3B2B">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0F471367">
            <w:pPr>
              <w:keepNext w:val="0"/>
              <w:keepLines w:val="0"/>
              <w:pageBreakBefore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ascii="宋体" w:hAnsi="宋体" w:cs="宋体"/>
                <w:color w:val="auto"/>
                <w:kern w:val="0"/>
                <w:sz w:val="24"/>
                <w:szCs w:val="24"/>
                <w:lang w:val="en-US" w:eastAsia="zh-CN" w:bidi="ar"/>
              </w:rPr>
              <w:t>加深学生对</w:t>
            </w:r>
            <w:r>
              <w:rPr>
                <w:rFonts w:hint="eastAsia" w:ascii="宋体" w:hAnsi="宋体" w:eastAsia="宋体" w:cs="宋体"/>
                <w:color w:val="auto"/>
                <w:kern w:val="0"/>
                <w:sz w:val="24"/>
                <w:szCs w:val="24"/>
                <w:lang w:val="en-US" w:eastAsia="zh-CN" w:bidi="ar"/>
              </w:rPr>
              <w:t>售票员日营收结算单</w:t>
            </w:r>
            <w:r>
              <w:rPr>
                <w:rFonts w:hint="eastAsia" w:ascii="宋体" w:hAnsi="宋体" w:cs="宋体"/>
                <w:color w:val="auto"/>
                <w:kern w:val="0"/>
                <w:sz w:val="24"/>
                <w:szCs w:val="24"/>
                <w:lang w:val="en-US" w:eastAsia="zh-CN" w:bidi="ar"/>
              </w:rPr>
              <w:t>的理解</w:t>
            </w:r>
          </w:p>
        </w:tc>
      </w:tr>
      <w:tr w14:paraId="292FFC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8AC0B0A">
            <w:pPr>
              <w:rPr>
                <w:color w:val="auto"/>
              </w:rPr>
            </w:pPr>
          </w:p>
        </w:tc>
        <w:tc>
          <w:tcPr>
            <w:tcW w:w="5479" w:type="dxa"/>
            <w:shd w:val="clear" w:color="auto" w:fill="FFFFFF" w:themeFill="background1"/>
          </w:tcPr>
          <w:p w14:paraId="0685C82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②用于反映售票员不能通过BOM行政处理给乘客办理退款和事务处理情况的报表/台账。</w:t>
            </w:r>
          </w:p>
          <w:p w14:paraId="6E05FF7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车站处理乘客事务时，若遇到自动售票机TVM少找零、卡币、卡票或发售无效票等异常情况，需填写乘客事务处理单。此单据记录售票员处理相关事务的详细情况，并与售票员结算单共同作为收益结算的凭证。现金事务栏涉及售票员在BOM上处理涉及现金的事务，例如不收取乘客现金但需为乘客发放车票或退还现金时所填写；而非现金事务栏则用于记录不涉及现金的事务操作。</w:t>
            </w:r>
          </w:p>
        </w:tc>
        <w:tc>
          <w:tcPr>
            <w:tcW w:w="1521" w:type="dxa"/>
            <w:shd w:val="clear" w:color="auto" w:fill="FFFFFF" w:themeFill="background1"/>
            <w:vAlign w:val="center"/>
          </w:tcPr>
          <w:p w14:paraId="3A09C2F8">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14BBD55D">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用于反映售票员不能通过BOM行政处理给乘客办理退款和事务处理情况的报表/台账</w:t>
            </w:r>
            <w:r>
              <w:rPr>
                <w:rFonts w:hint="eastAsia" w:ascii="宋体" w:hAnsi="宋体" w:cs="宋体"/>
                <w:color w:val="auto"/>
                <w:kern w:val="0"/>
                <w:sz w:val="24"/>
                <w:szCs w:val="24"/>
                <w:lang w:val="en-US" w:eastAsia="zh-CN" w:bidi="ar"/>
              </w:rPr>
              <w:t>的知识</w:t>
            </w:r>
          </w:p>
        </w:tc>
      </w:tr>
      <w:tr w14:paraId="24DC8F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65FE548">
            <w:pPr>
              <w:rPr>
                <w:color w:val="auto"/>
              </w:rPr>
            </w:pPr>
          </w:p>
        </w:tc>
        <w:tc>
          <w:tcPr>
            <w:tcW w:w="5479" w:type="dxa"/>
            <w:shd w:val="clear" w:color="auto" w:fill="FFFFFF" w:themeFill="background1"/>
          </w:tcPr>
          <w:p w14:paraId="06A99C2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③用于反映TVM收益情况的报表/台账。</w:t>
            </w:r>
          </w:p>
          <w:p w14:paraId="59200E03">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这类报表和台账一般由客运值班员在TVM钱箱更换后进行清点时采用，目的是记录TVM钱箱的收益情况。每日所有TVM钱箱的实际点验金额减去车站补币金额，即为车站TVM票款的收入。</w:t>
            </w:r>
          </w:p>
        </w:tc>
        <w:tc>
          <w:tcPr>
            <w:tcW w:w="1521" w:type="dxa"/>
            <w:shd w:val="clear" w:color="auto" w:fill="FFFFFF" w:themeFill="background1"/>
            <w:vAlign w:val="center"/>
          </w:tcPr>
          <w:p w14:paraId="1A3D51B8">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1D200985">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用于反映TVM收益情况的报表/台账</w:t>
            </w:r>
            <w:r>
              <w:rPr>
                <w:rFonts w:hint="eastAsia" w:ascii="宋体" w:hAnsi="宋体" w:cs="宋体"/>
                <w:color w:val="auto"/>
                <w:kern w:val="0"/>
                <w:sz w:val="24"/>
                <w:szCs w:val="24"/>
                <w:lang w:val="en-US" w:eastAsia="zh-CN" w:bidi="ar"/>
              </w:rPr>
              <w:t>的知识</w:t>
            </w:r>
          </w:p>
        </w:tc>
      </w:tr>
      <w:tr w14:paraId="49851C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6C3ACB4F">
            <w:pPr>
              <w:rPr>
                <w:color w:val="auto"/>
              </w:rPr>
            </w:pPr>
          </w:p>
        </w:tc>
        <w:tc>
          <w:tcPr>
            <w:tcW w:w="5479" w:type="dxa"/>
            <w:shd w:val="clear" w:color="auto" w:fill="FFFFFF" w:themeFill="background1"/>
          </w:tcPr>
          <w:p w14:paraId="19E2EB0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《钱箱清点报告》如图4-17所示。</w:t>
            </w:r>
          </w:p>
          <w:p w14:paraId="33986005">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3340100" cy="2078355"/>
                  <wp:effectExtent l="0" t="0" r="12700" b="1714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5"/>
                          <a:stretch>
                            <a:fillRect/>
                          </a:stretch>
                        </pic:blipFill>
                        <pic:spPr>
                          <a:xfrm>
                            <a:off x="0" y="0"/>
                            <a:ext cx="3340100" cy="2078355"/>
                          </a:xfrm>
                          <a:prstGeom prst="rect">
                            <a:avLst/>
                          </a:prstGeom>
                          <a:noFill/>
                          <a:ln>
                            <a:noFill/>
                          </a:ln>
                        </pic:spPr>
                      </pic:pic>
                    </a:graphicData>
                  </a:graphic>
                </wp:inline>
              </w:drawing>
            </w:r>
          </w:p>
        </w:tc>
        <w:tc>
          <w:tcPr>
            <w:tcW w:w="1521" w:type="dxa"/>
            <w:shd w:val="clear" w:color="auto" w:fill="FFFFFF" w:themeFill="background1"/>
            <w:vAlign w:val="center"/>
          </w:tcPr>
          <w:p w14:paraId="23D286BC">
            <w:pPr>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olor w:val="auto"/>
                <w:sz w:val="24"/>
                <w:szCs w:val="24"/>
              </w:rPr>
            </w:pPr>
            <w:r>
              <w:rPr>
                <w:rFonts w:hint="eastAsia" w:ascii="Times New Roman" w:hAnsi="Times New Roman"/>
                <w:color w:val="auto"/>
                <w:sz w:val="24"/>
                <w:szCs w:val="24"/>
              </w:rPr>
              <w:t>展示图片</w:t>
            </w:r>
          </w:p>
          <w:p w14:paraId="4E363720">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683AAC7A">
            <w:pPr>
              <w:keepNext w:val="0"/>
              <w:keepLines w:val="0"/>
              <w:pageBreakBefore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ascii="宋体" w:hAnsi="宋体" w:cs="宋体"/>
                <w:color w:val="auto"/>
                <w:kern w:val="0"/>
                <w:sz w:val="24"/>
                <w:szCs w:val="24"/>
                <w:lang w:val="en-US" w:eastAsia="zh-CN" w:bidi="ar"/>
              </w:rPr>
              <w:t>加深学生对</w:t>
            </w:r>
            <w:r>
              <w:rPr>
                <w:rFonts w:hint="eastAsia" w:ascii="宋体" w:hAnsi="宋体" w:eastAsia="宋体" w:cs="宋体"/>
                <w:color w:val="auto"/>
                <w:kern w:val="0"/>
                <w:sz w:val="24"/>
                <w:szCs w:val="24"/>
                <w:lang w:val="en-US" w:eastAsia="zh-CN" w:bidi="ar"/>
              </w:rPr>
              <w:t>钱箱清点报告</w:t>
            </w:r>
            <w:r>
              <w:rPr>
                <w:rFonts w:hint="eastAsia" w:ascii="宋体" w:hAnsi="宋体" w:cs="宋体"/>
                <w:color w:val="auto"/>
                <w:kern w:val="0"/>
                <w:sz w:val="24"/>
                <w:szCs w:val="24"/>
                <w:lang w:val="en-US" w:eastAsia="zh-CN" w:bidi="ar"/>
              </w:rPr>
              <w:t>的理解</w:t>
            </w:r>
          </w:p>
        </w:tc>
      </w:tr>
      <w:tr w14:paraId="55E66B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45EC0412">
            <w:pPr>
              <w:rPr>
                <w:color w:val="auto"/>
              </w:rPr>
            </w:pPr>
          </w:p>
        </w:tc>
        <w:tc>
          <w:tcPr>
            <w:tcW w:w="5479" w:type="dxa"/>
            <w:shd w:val="clear" w:color="auto" w:fill="FFFFFF" w:themeFill="background1"/>
          </w:tcPr>
          <w:p w14:paraId="30FB62F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④用于反映车站每日运营收入情况的报表。</w:t>
            </w:r>
          </w:p>
          <w:p w14:paraId="1D0F6130">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车站每日的财务状况通过值班员依据钱箱清点报告、售票员结算单以及TVM打印的补币单等资料编制的营收日报来展现。值班员须详细记录钱箱内的票款总额、差额、补充的硬币金额、BOM的票款收入、处理乘客事务产生的差额等数据，以便计算出自TVM和售票员的收入，进而得出车站的总收入，并且要记录票款的解送情况。</w:t>
            </w:r>
          </w:p>
        </w:tc>
        <w:tc>
          <w:tcPr>
            <w:tcW w:w="1521" w:type="dxa"/>
            <w:shd w:val="clear" w:color="auto" w:fill="FFFFFF" w:themeFill="background1"/>
            <w:vAlign w:val="center"/>
          </w:tcPr>
          <w:p w14:paraId="2E2BAD57">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066217E7">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用于反映车站每日运营收入情况的报表</w:t>
            </w:r>
            <w:r>
              <w:rPr>
                <w:rFonts w:hint="eastAsia" w:ascii="宋体" w:hAnsi="宋体" w:cs="宋体"/>
                <w:color w:val="auto"/>
                <w:kern w:val="0"/>
                <w:sz w:val="24"/>
                <w:szCs w:val="24"/>
                <w:lang w:val="en-US" w:eastAsia="zh-CN" w:bidi="ar"/>
              </w:rPr>
              <w:t>的知识</w:t>
            </w:r>
          </w:p>
        </w:tc>
      </w:tr>
      <w:tr w14:paraId="0CF840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2AF00F1A">
            <w:pPr>
              <w:rPr>
                <w:color w:val="auto"/>
              </w:rPr>
            </w:pPr>
          </w:p>
        </w:tc>
        <w:tc>
          <w:tcPr>
            <w:tcW w:w="5479" w:type="dxa"/>
            <w:shd w:val="clear" w:color="auto" w:fill="FFFFFF" w:themeFill="background1"/>
          </w:tcPr>
          <w:p w14:paraId="02A2FD7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现金结算报表的流程如图4-18所示。</w:t>
            </w:r>
          </w:p>
          <w:p w14:paraId="6A971474">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sz w:val="24"/>
                <w:szCs w:val="24"/>
              </w:rPr>
              <w:drawing>
                <wp:inline distT="0" distB="0" distL="114300" distR="114300">
                  <wp:extent cx="3335655" cy="852170"/>
                  <wp:effectExtent l="0" t="0" r="17145" b="508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a:stretch>
                            <a:fillRect/>
                          </a:stretch>
                        </pic:blipFill>
                        <pic:spPr>
                          <a:xfrm>
                            <a:off x="0" y="0"/>
                            <a:ext cx="3335655" cy="852170"/>
                          </a:xfrm>
                          <a:prstGeom prst="rect">
                            <a:avLst/>
                          </a:prstGeom>
                          <a:noFill/>
                          <a:ln>
                            <a:noFill/>
                          </a:ln>
                        </pic:spPr>
                      </pic:pic>
                    </a:graphicData>
                  </a:graphic>
                </wp:inline>
              </w:drawing>
            </w:r>
          </w:p>
        </w:tc>
        <w:tc>
          <w:tcPr>
            <w:tcW w:w="1521" w:type="dxa"/>
            <w:shd w:val="clear" w:color="auto" w:fill="FFFFFF" w:themeFill="background1"/>
            <w:vAlign w:val="center"/>
          </w:tcPr>
          <w:p w14:paraId="7C485EE4">
            <w:pPr>
              <w:keepNext w:val="0"/>
              <w:keepLines w:val="0"/>
              <w:pageBreakBefore w:val="0"/>
              <w:kinsoku/>
              <w:wordWrap/>
              <w:overflowPunct/>
              <w:topLinePunct w:val="0"/>
              <w:autoSpaceDE/>
              <w:autoSpaceDN/>
              <w:bidi w:val="0"/>
              <w:adjustRightInd/>
              <w:snapToGrid/>
              <w:spacing w:line="240" w:lineRule="auto"/>
              <w:textAlignment w:val="auto"/>
              <w:rPr>
                <w:rFonts w:ascii="Times New Roman" w:hAnsi="Times New Roman"/>
                <w:color w:val="auto"/>
                <w:sz w:val="24"/>
                <w:szCs w:val="24"/>
              </w:rPr>
            </w:pPr>
            <w:r>
              <w:rPr>
                <w:rFonts w:hint="eastAsia" w:ascii="Times New Roman" w:hAnsi="Times New Roman"/>
                <w:color w:val="auto"/>
                <w:sz w:val="24"/>
                <w:szCs w:val="24"/>
              </w:rPr>
              <w:t>展示图片</w:t>
            </w:r>
          </w:p>
          <w:p w14:paraId="22C5510E">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4"/>
                <w:szCs w:val="24"/>
                <w:lang w:val="en-US" w:eastAsia="zh-CN" w:bidi="ar-SA"/>
              </w:rPr>
            </w:pPr>
            <w:r>
              <w:rPr>
                <w:rFonts w:ascii="Times New Roman" w:hAnsi="Times New Roman"/>
                <w:color w:val="auto"/>
                <w:sz w:val="24"/>
                <w:szCs w:val="24"/>
              </w:rPr>
              <w:t>师讲解，学生观</w:t>
            </w:r>
          </w:p>
        </w:tc>
        <w:tc>
          <w:tcPr>
            <w:tcW w:w="1522" w:type="dxa"/>
            <w:shd w:val="clear" w:color="auto" w:fill="FFFFFF" w:themeFill="background1"/>
            <w:vAlign w:val="center"/>
          </w:tcPr>
          <w:p w14:paraId="52B6EAC6">
            <w:pPr>
              <w:keepNext w:val="0"/>
              <w:keepLines w:val="0"/>
              <w:pageBreakBefore w:val="0"/>
              <w:kinsoku/>
              <w:wordWrap/>
              <w:overflowPunct/>
              <w:topLinePunct w:val="0"/>
              <w:autoSpaceDE/>
              <w:autoSpaceDN/>
              <w:bidi w:val="0"/>
              <w:adjustRightInd/>
              <w:snapToGrid/>
              <w:spacing w:line="240" w:lineRule="auto"/>
              <w:textAlignment w:val="auto"/>
              <w:rPr>
                <w:rFonts w:hint="default" w:ascii="Calibri" w:hAnsi="Calibri" w:eastAsia="宋体" w:cs="Times New Roman"/>
                <w:color w:val="auto"/>
                <w:kern w:val="2"/>
                <w:sz w:val="24"/>
                <w:szCs w:val="24"/>
                <w:lang w:val="en-US" w:eastAsia="zh-CN" w:bidi="ar-SA"/>
              </w:rPr>
            </w:pPr>
            <w:r>
              <w:rPr>
                <w:rFonts w:hint="eastAsia" w:ascii="宋体" w:hAnsi="宋体" w:cs="宋体"/>
                <w:color w:val="auto"/>
                <w:kern w:val="0"/>
                <w:sz w:val="24"/>
                <w:szCs w:val="24"/>
                <w:lang w:val="en-US" w:eastAsia="zh-CN" w:bidi="ar"/>
              </w:rPr>
              <w:t>加深学生对</w:t>
            </w:r>
            <w:r>
              <w:rPr>
                <w:rFonts w:hint="eastAsia" w:ascii="宋体" w:hAnsi="宋体" w:eastAsia="宋体" w:cs="宋体"/>
                <w:color w:val="auto"/>
                <w:kern w:val="0"/>
                <w:sz w:val="24"/>
                <w:szCs w:val="24"/>
                <w:lang w:val="en-US" w:eastAsia="zh-CN" w:bidi="ar"/>
              </w:rPr>
              <w:t>现金结算报表的流程</w:t>
            </w:r>
            <w:r>
              <w:rPr>
                <w:rFonts w:hint="eastAsia" w:ascii="宋体" w:hAnsi="宋体" w:cs="宋体"/>
                <w:color w:val="auto"/>
                <w:kern w:val="0"/>
                <w:sz w:val="24"/>
                <w:szCs w:val="24"/>
                <w:lang w:val="en-US" w:eastAsia="zh-CN" w:bidi="ar"/>
              </w:rPr>
              <w:t>的理解</w:t>
            </w:r>
          </w:p>
        </w:tc>
      </w:tr>
      <w:tr w14:paraId="217DFB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5DF524FE">
            <w:pPr>
              <w:rPr>
                <w:color w:val="auto"/>
              </w:rPr>
            </w:pPr>
          </w:p>
        </w:tc>
        <w:tc>
          <w:tcPr>
            <w:tcW w:w="5479" w:type="dxa"/>
            <w:shd w:val="clear" w:color="auto" w:fill="FFFFFF" w:themeFill="background1"/>
          </w:tcPr>
          <w:p w14:paraId="0B5A97FF">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2.报表管理基本要求</w:t>
            </w:r>
          </w:p>
          <w:p w14:paraId="1E083104">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（1）纸质报表书写要求。</w:t>
            </w:r>
          </w:p>
          <w:p w14:paraId="1368EB87">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①必须用黑色或蓝色笔填写，字迹必须清晰、工整，不得潦草，阿拉伯数字应一个一个地写，不得连笔书写。</w:t>
            </w:r>
          </w:p>
          <w:p w14:paraId="7C191DE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②纸质报表若为过底类型，需用圆珠笔仔细填写，确保字迹清晰可见，避免仅表面清晰而底层模糊；若为非过底类型，则可选用圆珠笔、钢笔或签字笔进行填写。</w:t>
            </w:r>
          </w:p>
          <w:p w14:paraId="3DD5A169">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③报表中的所有指标应完整无缺，不得随意留空。若因实际情况导致某些指标无数据产生，应使用“——”符号来标识这些空白处。</w:t>
            </w:r>
          </w:p>
        </w:tc>
        <w:tc>
          <w:tcPr>
            <w:tcW w:w="1521" w:type="dxa"/>
            <w:shd w:val="clear" w:color="auto" w:fill="FFFFFF" w:themeFill="background1"/>
            <w:vAlign w:val="center"/>
          </w:tcPr>
          <w:p w14:paraId="1AB03CBE">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ascii="Times New Roman" w:hAnsi="Times New Roman"/>
                <w:color w:val="auto"/>
                <w:sz w:val="24"/>
                <w:szCs w:val="24"/>
                <w:lang w:val="en-US" w:eastAsia="zh-CN"/>
              </w:rPr>
              <w:t>邀请学生阅读，教师进行补充</w:t>
            </w:r>
          </w:p>
        </w:tc>
        <w:tc>
          <w:tcPr>
            <w:tcW w:w="1522" w:type="dxa"/>
            <w:shd w:val="clear" w:color="auto" w:fill="FFFFFF" w:themeFill="background1"/>
            <w:vAlign w:val="center"/>
          </w:tcPr>
          <w:p w14:paraId="0D64F9AD">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纸质报表书写要求</w:t>
            </w:r>
          </w:p>
        </w:tc>
      </w:tr>
      <w:tr w14:paraId="07EC70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8B1756B">
            <w:pPr>
              <w:rPr>
                <w:color w:val="auto"/>
              </w:rPr>
            </w:pPr>
          </w:p>
        </w:tc>
        <w:tc>
          <w:tcPr>
            <w:tcW w:w="5479" w:type="dxa"/>
            <w:shd w:val="clear" w:color="auto" w:fill="FFFFFF" w:themeFill="background1"/>
          </w:tcPr>
          <w:p w14:paraId="67B8AA8C">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（2）报表内容填写基本原则。</w:t>
            </w:r>
          </w:p>
          <w:p w14:paraId="4689B1A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填写报表是一项既细致又严肃的任务，执行者需遵守票务规章制度，确保报表的真实性、准确性、完整性和及时性。完成报表填写后，执行者应加盖个人私章；在录入报表时，必须使用个人员工号和密码进行操作。</w:t>
            </w:r>
          </w:p>
          <w:p w14:paraId="5BB77212">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①真实性：报表填写应真实呈现票务状况，严禁伪造事实或弄虚作假。</w:t>
            </w:r>
          </w:p>
          <w:p w14:paraId="5921E6AA">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②准确性：报表填写必须保证数据的正确无误。</w:t>
            </w:r>
          </w:p>
          <w:p w14:paraId="36215FE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③完整性：必须依照报表所列项目全面填写，确保无遗漏。</w:t>
            </w:r>
          </w:p>
          <w:p w14:paraId="2D11A36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④及时性：报表应在指定的时间内完成填写，并按时提交，不得有任何故意的延误。</w:t>
            </w:r>
          </w:p>
        </w:tc>
        <w:tc>
          <w:tcPr>
            <w:tcW w:w="1521" w:type="dxa"/>
            <w:shd w:val="clear" w:color="auto" w:fill="FFFFFF" w:themeFill="background1"/>
            <w:vAlign w:val="center"/>
          </w:tcPr>
          <w:p w14:paraId="594FDD7A">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ascii="Times New Roman" w:hAnsi="Times New Roman"/>
                <w:color w:val="auto"/>
                <w:sz w:val="24"/>
                <w:szCs w:val="24"/>
                <w:lang w:val="en-US" w:eastAsia="zh-CN"/>
              </w:rPr>
              <w:t>邀请学生阅读，教师进行补充</w:t>
            </w:r>
          </w:p>
        </w:tc>
        <w:tc>
          <w:tcPr>
            <w:tcW w:w="1522" w:type="dxa"/>
            <w:shd w:val="clear" w:color="auto" w:fill="FFFFFF" w:themeFill="background1"/>
            <w:vAlign w:val="center"/>
          </w:tcPr>
          <w:p w14:paraId="2051D85F">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报表内容填写基本原则</w:t>
            </w:r>
          </w:p>
        </w:tc>
      </w:tr>
      <w:tr w14:paraId="6496B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vMerge w:val="continue"/>
            <w:shd w:val="clear" w:color="auto" w:fill="FFFFFF" w:themeFill="background1"/>
          </w:tcPr>
          <w:p w14:paraId="1566D878">
            <w:pPr>
              <w:rPr>
                <w:color w:val="auto"/>
              </w:rPr>
            </w:pPr>
          </w:p>
        </w:tc>
        <w:tc>
          <w:tcPr>
            <w:tcW w:w="5479" w:type="dxa"/>
            <w:shd w:val="clear" w:color="auto" w:fill="FFFFFF" w:themeFill="background1"/>
          </w:tcPr>
          <w:p w14:paraId="49D2043D">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lang w:val="en-US" w:eastAsia="zh-CN" w:bidi="ar"/>
              </w:rPr>
              <w:t>3.纸质报表的上交</w:t>
            </w:r>
          </w:p>
          <w:p w14:paraId="357D9021">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color w:val="auto"/>
                <w:kern w:val="0"/>
                <w:sz w:val="24"/>
                <w:szCs w:val="24"/>
                <w:lang w:val="en-US" w:eastAsia="zh-CN" w:bidi="ar"/>
              </w:rPr>
            </w:pPr>
            <w:r>
              <w:rPr>
                <w:rFonts w:hint="eastAsia" w:ascii="宋体" w:hAnsi="宋体" w:eastAsia="宋体" w:cs="宋体"/>
                <w:color w:val="auto"/>
                <w:kern w:val="0"/>
                <w:sz w:val="24"/>
                <w:szCs w:val="24"/>
                <w:lang w:val="en-US" w:eastAsia="zh-CN" w:bidi="ar"/>
              </w:rPr>
              <w:t>通常情况下，报表的提交需遵循既定的时间、地点和程序。各站的客运值班员应预先整理好需上交的报表，并将其装入文件袋内，准备交接。随后，票务人员会按照既定程序收取各站的报表。</w:t>
            </w:r>
          </w:p>
        </w:tc>
        <w:tc>
          <w:tcPr>
            <w:tcW w:w="1521" w:type="dxa"/>
            <w:shd w:val="clear" w:color="auto" w:fill="FFFFFF" w:themeFill="background1"/>
            <w:vAlign w:val="center"/>
          </w:tcPr>
          <w:p w14:paraId="6CEE0987">
            <w:pPr>
              <w:keepNext w:val="0"/>
              <w:keepLines w:val="0"/>
              <w:pageBreakBefore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ascii="Times New Roman" w:hAnsi="Times New Roman"/>
                <w:color w:val="auto"/>
                <w:sz w:val="24"/>
                <w:szCs w:val="24"/>
                <w:lang w:val="en-US" w:eastAsia="zh-CN"/>
              </w:rPr>
              <w:t>邀请学生阅读，教师进行补充</w:t>
            </w:r>
          </w:p>
        </w:tc>
        <w:tc>
          <w:tcPr>
            <w:tcW w:w="1522" w:type="dxa"/>
            <w:shd w:val="clear" w:color="auto" w:fill="FFFFFF" w:themeFill="background1"/>
            <w:vAlign w:val="center"/>
          </w:tcPr>
          <w:p w14:paraId="2FA8C833">
            <w:pPr>
              <w:keepNext w:val="0"/>
              <w:keepLines w:val="0"/>
              <w:pageBreakBefore w:val="0"/>
              <w:widowControl w:val="0"/>
              <w:kinsoku/>
              <w:wordWrap/>
              <w:overflowPunct/>
              <w:topLinePunct w:val="0"/>
              <w:autoSpaceDE/>
              <w:autoSpaceDN/>
              <w:bidi w:val="0"/>
              <w:adjustRightInd/>
              <w:snapToGrid/>
              <w:spacing w:line="240" w:lineRule="auto"/>
              <w:textAlignment w:val="auto"/>
              <w:rPr>
                <w:rFonts w:hint="eastAsia" w:ascii="Calibri" w:hAnsi="Calibri" w:eastAsia="宋体" w:cs="Times New Roman"/>
                <w:color w:val="auto"/>
                <w:kern w:val="2"/>
                <w:sz w:val="21"/>
                <w:szCs w:val="22"/>
                <w:lang w:val="en-US" w:eastAsia="zh-CN" w:bidi="ar-SA"/>
              </w:rPr>
            </w:pPr>
            <w:r>
              <w:rPr>
                <w:rFonts w:hint="eastAsia"/>
                <w:color w:val="auto"/>
                <w:sz w:val="24"/>
                <w:szCs w:val="24"/>
                <w:lang w:val="en-US" w:eastAsia="zh-CN"/>
              </w:rPr>
              <w:t>帮助学生了解</w:t>
            </w:r>
            <w:r>
              <w:rPr>
                <w:rFonts w:hint="eastAsia" w:ascii="宋体" w:hAnsi="宋体" w:eastAsia="宋体" w:cs="宋体"/>
                <w:color w:val="auto"/>
                <w:kern w:val="0"/>
                <w:sz w:val="24"/>
                <w:szCs w:val="24"/>
                <w:lang w:val="en-US" w:eastAsia="zh-CN" w:bidi="ar"/>
              </w:rPr>
              <w:t>纸质报表的上交</w:t>
            </w:r>
            <w:r>
              <w:rPr>
                <w:rFonts w:hint="eastAsia" w:ascii="宋体" w:hAnsi="宋体" w:cs="宋体"/>
                <w:color w:val="auto"/>
                <w:kern w:val="0"/>
                <w:sz w:val="24"/>
                <w:szCs w:val="24"/>
                <w:lang w:val="en-US" w:eastAsia="zh-CN" w:bidi="ar"/>
              </w:rPr>
              <w:t>的知识</w:t>
            </w:r>
          </w:p>
        </w:tc>
      </w:tr>
      <w:tr w14:paraId="4C521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56F3C0C8">
            <w:pPr>
              <w:rPr>
                <w:color w:val="auto"/>
              </w:rPr>
            </w:pPr>
            <w:r>
              <w:rPr>
                <w:rFonts w:ascii="宋体" w:cs="宋体"/>
                <w:b/>
                <w:color w:val="auto"/>
                <w:sz w:val="28"/>
              </w:rPr>
              <w:t>作业布置</w:t>
            </w:r>
          </w:p>
        </w:tc>
        <w:tc>
          <w:tcPr>
            <w:tcW w:w="8522" w:type="dxa"/>
            <w:gridSpan w:val="3"/>
            <w:shd w:val="clear" w:color="000000" w:fill="FFFFFF"/>
            <w:vAlign w:val="center"/>
          </w:tcPr>
          <w:p w14:paraId="6037A7D9">
            <w:pPr>
              <w:spacing w:line="379" w:lineRule="auto"/>
              <w:ind w:right="480"/>
              <w:rPr>
                <w:rFonts w:ascii="宋体" w:cs="宋体"/>
                <w:color w:val="auto"/>
                <w:sz w:val="24"/>
                <w:szCs w:val="24"/>
              </w:rPr>
            </w:pPr>
            <w:r>
              <w:rPr>
                <w:rFonts w:hint="eastAsia" w:ascii="宋体" w:cs="宋体"/>
                <w:color w:val="auto"/>
                <w:sz w:val="24"/>
                <w:szCs w:val="24"/>
              </w:rPr>
              <w:t>请同学们完成思考与练习。</w:t>
            </w:r>
          </w:p>
          <w:p w14:paraId="522F1EF3">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（一）判断题</w:t>
            </w:r>
          </w:p>
          <w:p w14:paraId="09661755">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1.轨道交通车站的票款和备用金可以混放。</w:t>
            </w:r>
          </w:p>
          <w:p w14:paraId="313C95CB">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2.票务钥匙使用完毕应立即归还，遵循“有借必还”原则。</w:t>
            </w:r>
          </w:p>
          <w:p w14:paraId="60D2FB98">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3.城市轨道交通企业的票务工作纷繁复杂，每天都需要整理当天的票务工作，填写相应的台账报表。</w:t>
            </w:r>
          </w:p>
          <w:p w14:paraId="4531D837">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4.车站营收日报由每班值班员根据钱箱清点报告、售票员结算单、TVM打印的补币单等记录填写。</w:t>
            </w:r>
          </w:p>
          <w:p w14:paraId="3D62327A">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5.纸质报表中的阿拉伯数字应一个一个地写，不得连笔书写。</w:t>
            </w:r>
          </w:p>
          <w:p w14:paraId="111C1D49">
            <w:pPr>
              <w:spacing w:line="379" w:lineRule="auto"/>
              <w:ind w:right="480"/>
              <w:rPr>
                <w:rFonts w:hint="eastAsia" w:ascii="宋体" w:hAnsi="宋体" w:cs="宋体"/>
                <w:color w:val="auto"/>
                <w:sz w:val="24"/>
                <w:szCs w:val="24"/>
              </w:rPr>
            </w:pPr>
            <w:r>
              <w:rPr>
                <w:rFonts w:hint="eastAsia" w:ascii="宋体" w:hAnsi="宋体" w:cs="宋体"/>
                <w:color w:val="auto"/>
                <w:sz w:val="24"/>
                <w:szCs w:val="24"/>
              </w:rPr>
              <w:t>（二）简答题</w:t>
            </w:r>
          </w:p>
          <w:p w14:paraId="489C0ED3">
            <w:pPr>
              <w:spacing w:line="379" w:lineRule="auto"/>
              <w:ind w:right="480"/>
              <w:rPr>
                <w:rFonts w:hint="eastAsia" w:ascii="宋体" w:cs="宋体"/>
                <w:color w:val="auto"/>
                <w:sz w:val="24"/>
                <w:szCs w:val="24"/>
                <w:lang w:val="en-US" w:eastAsia="zh-CN"/>
              </w:rPr>
            </w:pPr>
            <w:r>
              <w:rPr>
                <w:rFonts w:hint="eastAsia" w:ascii="宋体" w:cs="宋体"/>
                <w:color w:val="auto"/>
                <w:sz w:val="24"/>
                <w:szCs w:val="24"/>
                <w:lang w:val="en-US" w:eastAsia="zh-CN"/>
              </w:rPr>
              <w:t>1.城市轨道交通票款解行的方式有直接解行和集中站收款（打包返纳）两种方式，请对比两者的优缺点。</w:t>
            </w:r>
          </w:p>
          <w:p w14:paraId="474C11C2">
            <w:pPr>
              <w:spacing w:line="379" w:lineRule="auto"/>
              <w:ind w:right="480"/>
              <w:rPr>
                <w:rFonts w:ascii="宋体" w:cs="宋体"/>
                <w:color w:val="auto"/>
                <w:sz w:val="24"/>
                <w:szCs w:val="24"/>
              </w:rPr>
            </w:pPr>
            <w:r>
              <w:rPr>
                <w:rFonts w:hint="eastAsia" w:ascii="宋体" w:cs="宋体"/>
                <w:color w:val="auto"/>
                <w:sz w:val="24"/>
                <w:szCs w:val="24"/>
                <w:lang w:val="en-US" w:eastAsia="zh-CN"/>
              </w:rPr>
              <w:t>2.简述报表录入的基本原则。</w:t>
            </w:r>
          </w:p>
        </w:tc>
      </w:tr>
      <w:tr w14:paraId="3B099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05937F3D">
            <w:pPr>
              <w:rPr>
                <w:color w:val="auto"/>
              </w:rPr>
            </w:pPr>
            <w:r>
              <w:rPr>
                <w:rFonts w:hint="eastAsia" w:ascii="宋体" w:cs="宋体"/>
                <w:b/>
                <w:color w:val="auto"/>
                <w:sz w:val="28"/>
              </w:rPr>
              <w:t>板书设计</w:t>
            </w:r>
          </w:p>
        </w:tc>
        <w:tc>
          <w:tcPr>
            <w:tcW w:w="8522" w:type="dxa"/>
            <w:gridSpan w:val="3"/>
            <w:shd w:val="clear" w:color="000000" w:fill="FFFFFF"/>
          </w:tcPr>
          <w:p w14:paraId="0684F94B">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宋体" w:hAnsi="宋体" w:cs="宋体"/>
                <w:color w:val="auto"/>
                <w:sz w:val="24"/>
                <w:szCs w:val="24"/>
                <w:lang w:val="en-US"/>
              </w:rPr>
            </w:pPr>
            <w:r>
              <w:rPr>
                <w:rFonts w:hint="eastAsia" w:ascii="Times New Roman" w:hAnsi="Times New Roman"/>
                <w:color w:val="auto"/>
                <w:sz w:val="24"/>
                <w:szCs w:val="24"/>
              </w:rPr>
              <w:t>模块</w:t>
            </w:r>
            <w:r>
              <w:rPr>
                <w:rFonts w:hint="eastAsia" w:ascii="Times New Roman" w:hAnsi="Times New Roman"/>
                <w:color w:val="auto"/>
                <w:sz w:val="24"/>
                <w:szCs w:val="24"/>
                <w:lang w:val="en-US" w:eastAsia="zh-CN"/>
              </w:rPr>
              <w:t xml:space="preserve">四  </w:t>
            </w:r>
            <w:r>
              <w:rPr>
                <w:rFonts w:hint="eastAsia" w:ascii="Times New Roman" w:hAnsi="Times New Roman"/>
                <w:color w:val="auto"/>
                <w:sz w:val="24"/>
                <w:szCs w:val="24"/>
              </w:rPr>
              <w:t>课题</w:t>
            </w:r>
            <w:r>
              <w:rPr>
                <w:rFonts w:hint="eastAsia" w:ascii="Times New Roman" w:hAnsi="Times New Roman"/>
                <w:color w:val="auto"/>
                <w:sz w:val="24"/>
                <w:szCs w:val="24"/>
                <w:lang w:val="en-US" w:eastAsia="zh-CN"/>
              </w:rPr>
              <w:t>三  现金管理</w:t>
            </w:r>
          </w:p>
          <w:p w14:paraId="365C5337">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color w:val="auto"/>
                <w:sz w:val="24"/>
                <w:szCs w:val="24"/>
                <w:lang w:val="en-US" w:eastAsia="zh-CN"/>
              </w:rPr>
            </w:pPr>
            <w:r>
              <w:rPr>
                <w:rFonts w:hint="eastAsia" w:ascii="Times New Roman" w:hAnsi="Times New Roman" w:eastAsia="宋体" w:cs="Times New Roman"/>
                <w:color w:val="auto"/>
                <w:kern w:val="2"/>
                <w:sz w:val="24"/>
                <w:szCs w:val="24"/>
                <w:lang w:val="en-US" w:eastAsia="zh-CN" w:bidi="ar-SA"/>
              </w:rPr>
              <w:t>（一）</w:t>
            </w:r>
            <w:r>
              <w:rPr>
                <w:rFonts w:hint="eastAsia" w:ascii="Times New Roman" w:hAnsi="Times New Roman"/>
                <w:color w:val="auto"/>
                <w:sz w:val="24"/>
                <w:szCs w:val="24"/>
                <w:lang w:val="en-US" w:eastAsia="zh-CN"/>
              </w:rPr>
              <w:t>现金管理概述</w:t>
            </w:r>
          </w:p>
          <w:p w14:paraId="76A388C5">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1.现金的来源</w:t>
            </w:r>
          </w:p>
          <w:p w14:paraId="3986BDF8">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2.备用金管理</w:t>
            </w:r>
          </w:p>
          <w:p w14:paraId="54A8F0C7">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3.票款管理</w:t>
            </w:r>
          </w:p>
          <w:p w14:paraId="3BEC0FE9">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（1）现金管理</w:t>
            </w:r>
          </w:p>
          <w:p w14:paraId="782E7132">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（2）票款收益</w:t>
            </w:r>
          </w:p>
          <w:p w14:paraId="7CD5A39C">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（3）票款解行</w:t>
            </w:r>
          </w:p>
          <w:p w14:paraId="2B4F92DD">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（4）票款结算</w:t>
            </w:r>
          </w:p>
          <w:p w14:paraId="090F37ED">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（5）现金安全管理</w:t>
            </w:r>
          </w:p>
          <w:p w14:paraId="18E6A8D5">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（6）假钞、错款的处理</w:t>
            </w:r>
          </w:p>
          <w:p w14:paraId="2C19AE00">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（7）现金的交接</w:t>
            </w:r>
          </w:p>
          <w:p w14:paraId="4FDDC82E">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（二）票据管理流程</w:t>
            </w:r>
          </w:p>
          <w:p w14:paraId="182ADEBF">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1.城市轨道交通发票</w:t>
            </w:r>
          </w:p>
          <w:p w14:paraId="770186C8">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（2）定额发票</w:t>
            </w:r>
          </w:p>
          <w:p w14:paraId="31F3DAEB">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（3）手写发票</w:t>
            </w:r>
          </w:p>
          <w:p w14:paraId="01032A39">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（三）票务备品管理</w:t>
            </w:r>
          </w:p>
          <w:p w14:paraId="754760E8">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1.票务备品分类</w:t>
            </w:r>
          </w:p>
          <w:p w14:paraId="2AF98B92">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2.票务备品管理规定</w:t>
            </w:r>
          </w:p>
          <w:p w14:paraId="1D03C89D">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（四）票务钥匙管理</w:t>
            </w:r>
          </w:p>
          <w:p w14:paraId="727B957F">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1.票务钥匙的分类</w:t>
            </w:r>
          </w:p>
          <w:p w14:paraId="3967ACB3">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2.票务钥匙的保管规定</w:t>
            </w:r>
          </w:p>
          <w:p w14:paraId="00E32E31">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3.票务钥匙的使用规定</w:t>
            </w:r>
          </w:p>
          <w:p w14:paraId="3AE82DFB">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4.遗失票务钥匙的处理</w:t>
            </w:r>
          </w:p>
          <w:p w14:paraId="0702A028">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5.票务钥匙的交接规定</w:t>
            </w:r>
          </w:p>
          <w:p w14:paraId="0B7A103E">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6.票务钥匙的更换</w:t>
            </w:r>
          </w:p>
          <w:p w14:paraId="7A010A61">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（五）报表/台账管理</w:t>
            </w:r>
          </w:p>
          <w:p w14:paraId="76CBF89B">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1.车站票务报表/台账的种类</w:t>
            </w:r>
          </w:p>
          <w:p w14:paraId="6297812C">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eastAsia" w:ascii="Times New Roman" w:hAnsi="Times New Roman"/>
                <w:color w:val="auto"/>
                <w:sz w:val="24"/>
                <w:szCs w:val="24"/>
                <w:lang w:val="en-US" w:eastAsia="zh-CN"/>
              </w:rPr>
            </w:pPr>
            <w:r>
              <w:rPr>
                <w:rFonts w:hint="eastAsia" w:ascii="Times New Roman" w:hAnsi="Times New Roman"/>
                <w:color w:val="auto"/>
                <w:sz w:val="24"/>
                <w:szCs w:val="24"/>
                <w:lang w:val="en-US" w:eastAsia="zh-CN"/>
              </w:rPr>
              <w:t>2.报表管理基本要求</w:t>
            </w:r>
          </w:p>
          <w:p w14:paraId="668CC2DA">
            <w:pPr>
              <w:pStyle w:val="5"/>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hint="default" w:ascii="Times New Roman" w:hAnsi="Times New Roman"/>
                <w:color w:val="auto"/>
                <w:sz w:val="24"/>
                <w:szCs w:val="24"/>
                <w:lang w:val="en-US" w:eastAsia="zh-CN"/>
              </w:rPr>
            </w:pPr>
            <w:r>
              <w:rPr>
                <w:rFonts w:hint="eastAsia" w:ascii="Times New Roman" w:hAnsi="Times New Roman"/>
                <w:color w:val="auto"/>
                <w:sz w:val="24"/>
                <w:szCs w:val="24"/>
                <w:lang w:val="en-US" w:eastAsia="zh-CN"/>
              </w:rPr>
              <w:t>3.纸质报表的上交</w:t>
            </w:r>
          </w:p>
        </w:tc>
      </w:tr>
      <w:tr w14:paraId="1D6B33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09" w:type="dxa"/>
            <w:shd w:val="clear" w:color="auto" w:fill="FFFFFF" w:themeFill="background1"/>
          </w:tcPr>
          <w:p w14:paraId="79CF90F2">
            <w:pPr>
              <w:rPr>
                <w:color w:val="auto"/>
              </w:rPr>
            </w:pPr>
            <w:r>
              <w:rPr>
                <w:rFonts w:ascii="宋体" w:cs="宋体"/>
                <w:b/>
                <w:color w:val="auto"/>
                <w:sz w:val="28"/>
              </w:rPr>
              <w:t>教学反思</w:t>
            </w:r>
            <w:r>
              <w:rPr>
                <w:rFonts w:hint="eastAsia" w:ascii="宋体" w:cs="宋体"/>
                <w:b/>
                <w:color w:val="auto"/>
                <w:sz w:val="28"/>
              </w:rPr>
              <w:t>（</w:t>
            </w:r>
            <w:r>
              <w:rPr>
                <w:rFonts w:hint="eastAsia" w:ascii="宋体" w:cs="宋体"/>
                <w:b/>
                <w:color w:val="FF0000"/>
                <w:sz w:val="28"/>
              </w:rPr>
              <w:t>手写</w:t>
            </w:r>
            <w:r>
              <w:rPr>
                <w:rFonts w:hint="eastAsia" w:ascii="宋体" w:cs="宋体"/>
                <w:b/>
                <w:color w:val="auto"/>
                <w:sz w:val="28"/>
              </w:rPr>
              <w:t>）</w:t>
            </w:r>
          </w:p>
        </w:tc>
        <w:tc>
          <w:tcPr>
            <w:tcW w:w="8522" w:type="dxa"/>
            <w:gridSpan w:val="3"/>
            <w:shd w:val="clear" w:color="auto" w:fill="FFFFFF" w:themeFill="background1"/>
          </w:tcPr>
          <w:p w14:paraId="2AF894A4">
            <w:pPr>
              <w:rPr>
                <w:color w:val="auto"/>
              </w:rPr>
            </w:pPr>
          </w:p>
        </w:tc>
      </w:tr>
    </w:tbl>
    <w:p w14:paraId="4393DBC5"/>
    <w:sectPr>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C1B4A85"/>
    <w:rsid w:val="001F78C2"/>
    <w:rsid w:val="00C435AA"/>
    <w:rsid w:val="00F52B12"/>
    <w:rsid w:val="069114AA"/>
    <w:rsid w:val="1C1B4A85"/>
    <w:rsid w:val="1ECF4D3F"/>
    <w:rsid w:val="2935110A"/>
    <w:rsid w:val="308A799E"/>
    <w:rsid w:val="33396D97"/>
    <w:rsid w:val="34F47329"/>
    <w:rsid w:val="387A31A3"/>
    <w:rsid w:val="3C803352"/>
    <w:rsid w:val="4AF53986"/>
    <w:rsid w:val="4FD8578D"/>
    <w:rsid w:val="57E16E3D"/>
    <w:rsid w:val="59984E4D"/>
    <w:rsid w:val="5E473A9D"/>
    <w:rsid w:val="5F972637"/>
    <w:rsid w:val="651A0D6E"/>
    <w:rsid w:val="693C6DF1"/>
    <w:rsid w:val="7C5F249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4">
    <w:name w:val="Default Paragraph Font"/>
    <w:semiHidden/>
    <w:unhideWhenUsed/>
    <w:qFormat/>
    <w:uiPriority w:val="1"/>
  </w:style>
  <w:style w:type="table" w:default="1" w:styleId="2">
    <w:name w:val="Normal Table"/>
    <w:semiHidden/>
    <w:unhideWhenUsed/>
    <w:qFormat/>
    <w:uiPriority w:val="99"/>
    <w:tblPr>
      <w:tblCellMar>
        <w:top w:w="0" w:type="dxa"/>
        <w:left w:w="108" w:type="dxa"/>
        <w:bottom w:w="0" w:type="dxa"/>
        <w:right w:w="108" w:type="dxa"/>
      </w:tblCellMar>
    </w:tblPr>
  </w:style>
  <w:style w:type="table" w:styleId="3">
    <w:name w:val="Table Grid"/>
    <w:basedOn w:val="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5">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23</Pages>
  <Words>11693</Words>
  <Characters>11908</Characters>
  <Lines>66</Lines>
  <Paragraphs>18</Paragraphs>
  <TotalTime>16</TotalTime>
  <ScaleCrop>false</ScaleCrop>
  <LinksUpToDate>false</LinksUpToDate>
  <CharactersWithSpaces>11916</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2025-05-07T10:12:00Z</dcterms:created>
  <dc:creator>TREASURE</dc:creator>
  <cp:lastModifiedBy>TREASURE</cp:lastModifiedBy>
  <dcterms:modified xsi:type="dcterms:W3CDTF">2025-05-09T06:23:12Z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8DC936A75BDD40C988734A1672F3D770_13</vt:lpwstr>
  </property>
  <property fmtid="{D5CDD505-2E9C-101B-9397-08002B2CF9AE}" pid="4" name="KSOTemplateDocerSaveRecord">
    <vt:lpwstr>eyJoZGlkIjoiMjNjZjU1MDBkNjRkNjMxZTZhZDVjMzc0NWEyZDI1OGUiLCJ1c2VySWQiOiI5MzI1MjI1NzkifQ==</vt:lpwstr>
  </property>
</Properties>
</file>