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79E15">
      <w:pPr>
        <w:jc w:val="center"/>
        <w:rPr>
          <w:rFonts w:eastAsia="Calibri" w:cs="Calibri"/>
          <w:b/>
          <w:color w:val="FF0000"/>
          <w:sz w:val="28"/>
        </w:rPr>
      </w:pPr>
      <w:r>
        <w:rPr>
          <w:rFonts w:ascii="宋体" w:cs="宋体"/>
          <w:b/>
          <w:sz w:val="36"/>
        </w:rPr>
        <w:t>重庆市两江职业教育中心</w:t>
      </w:r>
      <w:r>
        <w:rPr>
          <w:rFonts w:hint="eastAsia" w:ascii="宋体" w:cs="宋体"/>
          <w:b/>
          <w:sz w:val="36"/>
        </w:rPr>
        <w:t>教学</w:t>
      </w:r>
      <w:r>
        <w:rPr>
          <w:rFonts w:ascii="宋体" w:cs="宋体"/>
          <w:b/>
          <w:sz w:val="36"/>
        </w:rPr>
        <w:t>教案</w:t>
      </w:r>
    </w:p>
    <w:tbl>
      <w:tblPr>
        <w:tblStyle w:val="2"/>
        <w:tblW w:w="10020" w:type="dxa"/>
        <w:tblInd w:w="0" w:type="dxa"/>
        <w:tblLayout w:type="fixed"/>
        <w:tblCellMar>
          <w:top w:w="0" w:type="dxa"/>
          <w:left w:w="10" w:type="dxa"/>
          <w:bottom w:w="0" w:type="dxa"/>
          <w:right w:w="10" w:type="dxa"/>
        </w:tblCellMar>
      </w:tblPr>
      <w:tblGrid>
        <w:gridCol w:w="1520"/>
        <w:gridCol w:w="1967"/>
        <w:gridCol w:w="1050"/>
        <w:gridCol w:w="2452"/>
        <w:gridCol w:w="836"/>
        <w:gridCol w:w="2195"/>
      </w:tblGrid>
      <w:tr w14:paraId="505C3CCE">
        <w:tblPrEx>
          <w:tblCellMar>
            <w:top w:w="0" w:type="dxa"/>
            <w:left w:w="10" w:type="dxa"/>
            <w:bottom w:w="0" w:type="dxa"/>
            <w:right w:w="10" w:type="dxa"/>
          </w:tblCellMar>
        </w:tblPrEx>
        <w:trPr>
          <w:trHeight w:val="927"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B7840D3">
            <w:pPr>
              <w:jc w:val="center"/>
              <w:rPr>
                <w:b/>
              </w:rPr>
            </w:pPr>
            <w:r>
              <w:rPr>
                <w:rFonts w:ascii="宋体" w:cs="宋体"/>
                <w:b/>
                <w:sz w:val="28"/>
              </w:rPr>
              <w:t>课题</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F5BDD81">
            <w:pPr>
              <w:jc w:val="center"/>
            </w:pPr>
            <w:r>
              <w:rPr>
                <w:rFonts w:hint="eastAsia" w:ascii="Times New Roman" w:hAnsi="Times New Roman"/>
                <w:sz w:val="24"/>
                <w:szCs w:val="24"/>
              </w:rPr>
              <w:t>票务政策</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24D8BA3">
            <w:pPr>
              <w:jc w:val="center"/>
              <w:rPr>
                <w:b/>
              </w:rPr>
            </w:pPr>
            <w:r>
              <w:rPr>
                <w:rFonts w:ascii="宋体" w:cs="宋体"/>
                <w:b/>
                <w:sz w:val="28"/>
              </w:rPr>
              <w:t>班级</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3F2A3A9"/>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E7D741E">
            <w:pPr>
              <w:jc w:val="center"/>
              <w:rPr>
                <w:b/>
              </w:rPr>
            </w:pPr>
            <w:r>
              <w:rPr>
                <w:rFonts w:ascii="宋体" w:cs="宋体"/>
                <w:b/>
                <w:sz w:val="28"/>
              </w:rPr>
              <w:t>教师</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3DDC880D">
            <w:pPr>
              <w:jc w:val="center"/>
              <w:rPr>
                <w:rFonts w:ascii="宋体" w:cs="宋体"/>
              </w:rPr>
            </w:pPr>
          </w:p>
        </w:tc>
      </w:tr>
      <w:tr w14:paraId="5951CA2D">
        <w:tblPrEx>
          <w:tblCellMar>
            <w:top w:w="0" w:type="dxa"/>
            <w:left w:w="10" w:type="dxa"/>
            <w:bottom w:w="0" w:type="dxa"/>
            <w:right w:w="10" w:type="dxa"/>
          </w:tblCellMar>
        </w:tblPrEx>
        <w:trPr>
          <w:trHeight w:val="136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D957BC1">
            <w:pPr>
              <w:jc w:val="center"/>
              <w:rPr>
                <w:b/>
              </w:rPr>
            </w:pPr>
            <w:r>
              <w:rPr>
                <w:rFonts w:ascii="宋体" w:cs="宋体"/>
                <w:b/>
                <w:sz w:val="28"/>
              </w:rPr>
              <w:t>课型</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B9A1E8">
            <w:pPr>
              <w:jc w:val="center"/>
            </w:pPr>
            <w:r>
              <w:rPr>
                <w:rFonts w:ascii="Times New Roman" w:hAnsi="Times New Roman"/>
                <w:sz w:val="24"/>
                <w:szCs w:val="24"/>
              </w:rPr>
              <w:t>新授课</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E8538CA">
            <w:pPr>
              <w:jc w:val="center"/>
              <w:rPr>
                <w:b/>
              </w:rPr>
            </w:pPr>
            <w:r>
              <w:rPr>
                <w:rFonts w:ascii="宋体" w:cs="宋体"/>
                <w:b/>
                <w:sz w:val="28"/>
              </w:rPr>
              <w:t>课时</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BDD5A53">
            <w:pPr>
              <w:jc w:val="left"/>
              <w:rPr>
                <w:rFonts w:ascii="Times New Roman" w:hAnsi="Times New Roman"/>
                <w:sz w:val="24"/>
                <w:szCs w:val="24"/>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周</w:t>
            </w:r>
          </w:p>
          <w:p w14:paraId="11C99913">
            <w:pPr>
              <w:jc w:val="left"/>
              <w:rPr>
                <w:rFonts w:ascii="宋体" w:cs="宋体"/>
                <w:sz w:val="28"/>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课时</w:t>
            </w:r>
          </w:p>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F9D80DE">
            <w:pPr>
              <w:jc w:val="center"/>
              <w:rPr>
                <w:rFonts w:ascii="宋体" w:cs="宋体"/>
                <w:b/>
                <w:sz w:val="28"/>
              </w:rPr>
            </w:pPr>
            <w:r>
              <w:rPr>
                <w:rFonts w:hint="eastAsia" w:ascii="宋体" w:cs="宋体"/>
                <w:b/>
                <w:sz w:val="28"/>
              </w:rPr>
              <w:t>上课</w:t>
            </w:r>
          </w:p>
          <w:p w14:paraId="2F64384E">
            <w:pPr>
              <w:jc w:val="center"/>
              <w:rPr>
                <w:b/>
              </w:rPr>
            </w:pPr>
            <w:r>
              <w:rPr>
                <w:rFonts w:ascii="宋体" w:cs="宋体"/>
                <w:b/>
                <w:sz w:val="28"/>
              </w:rPr>
              <w:t>时间</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415AF40F">
            <w:pPr>
              <w:jc w:val="center"/>
              <w:rPr>
                <w:b/>
                <w:sz w:val="28"/>
                <w:szCs w:val="28"/>
              </w:rPr>
            </w:pPr>
          </w:p>
        </w:tc>
      </w:tr>
      <w:tr w14:paraId="23EBA0EC">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31C5FB50">
            <w:pPr>
              <w:jc w:val="center"/>
              <w:rPr>
                <w:rFonts w:ascii="宋体" w:cs="宋体"/>
                <w:b/>
                <w:sz w:val="28"/>
              </w:rPr>
            </w:pPr>
            <w:r>
              <w:rPr>
                <w:rFonts w:hint="eastAsia" w:ascii="宋体" w:cs="宋体"/>
                <w:b/>
                <w:sz w:val="28"/>
              </w:rPr>
              <w:t>学情分析</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346F32C">
            <w:pPr>
              <w:spacing w:line="360" w:lineRule="auto"/>
              <w:jc w:val="left"/>
              <w:rPr>
                <w:rFonts w:ascii="宋体"/>
              </w:rPr>
            </w:pPr>
            <w:r>
              <w:rPr>
                <w:rFonts w:hint="eastAsia" w:ascii="Times New Roman" w:hAnsi="Times New Roman"/>
                <w:sz w:val="24"/>
                <w:szCs w:val="24"/>
              </w:rPr>
              <w:t>学生已掌握相关理论知识，但对城市轨道交通票务实际应用认知不足，虽日常乘坐地铁，却不了解车票状态分类、票制设定、票价制定流程等专业内容。他们思维活跃，对新的票制、票价政策等知识充满兴趣，能通过自主查阅资料和小组讨论学习不同票制特点、票务政策规定。然而，在系统整合车票状态、票制、票价制定等多方面知识，深入分析不同票制优缺点、票价制定原则的内在逻辑，以及将票务通用政策对应到实际乘车遇到的票务问题处理上存在不足。</w:t>
            </w:r>
          </w:p>
        </w:tc>
      </w:tr>
      <w:tr w14:paraId="5496B940">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1895195">
            <w:pPr>
              <w:jc w:val="center"/>
              <w:rPr>
                <w:rFonts w:ascii="宋体" w:cs="宋体"/>
                <w:b/>
                <w:sz w:val="28"/>
              </w:rPr>
            </w:pPr>
            <w:r>
              <w:rPr>
                <w:rFonts w:hint="eastAsia" w:ascii="宋体" w:cs="宋体"/>
                <w:b/>
                <w:sz w:val="28"/>
              </w:rPr>
              <w:t>课程思政</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6D905037">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1.思考现有票务政策存在的问题和不足，提出创新性的改进建议，如探索新型票价机制、拓展优惠政策覆盖范围或创新票种设计等，激发创新思维。</w:t>
            </w:r>
          </w:p>
          <w:p w14:paraId="5EE30A3F">
            <w:pPr>
              <w:spacing w:line="360" w:lineRule="auto"/>
              <w:jc w:val="left"/>
              <w:rPr>
                <w:rFonts w:ascii="Times New Roman" w:hAnsi="Times New Roman"/>
                <w:sz w:val="24"/>
                <w:szCs w:val="24"/>
              </w:rPr>
            </w:pPr>
            <w:r>
              <w:rPr>
                <w:rFonts w:hint="eastAsia" w:ascii="Times New Roman" w:hAnsi="Times New Roman"/>
                <w:sz w:val="24"/>
                <w:szCs w:val="24"/>
                <w:lang w:val="en-US" w:eastAsia="zh-CN"/>
              </w:rPr>
              <w:t>2.将票务政策知识应用于实际生活场景，如为自己或他人规划最经济的出行购票方案，或者模拟参与票务政策制定的讨论，提高实践能力和公民参与意识。</w:t>
            </w:r>
          </w:p>
        </w:tc>
      </w:tr>
      <w:tr w14:paraId="53A13ED7">
        <w:tblPrEx>
          <w:tblCellMar>
            <w:top w:w="0" w:type="dxa"/>
            <w:left w:w="10" w:type="dxa"/>
            <w:bottom w:w="0" w:type="dxa"/>
            <w:right w:w="10" w:type="dxa"/>
          </w:tblCellMar>
        </w:tblPrEx>
        <w:trPr>
          <w:trHeight w:val="1376"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54DA531">
            <w:pPr>
              <w:jc w:val="center"/>
              <w:rPr>
                <w:rFonts w:ascii="宋体"/>
                <w:b/>
              </w:rPr>
            </w:pPr>
            <w:r>
              <w:rPr>
                <w:rFonts w:ascii="宋体" w:cs="宋体"/>
                <w:b/>
                <w:sz w:val="28"/>
              </w:rPr>
              <w:t>教学目标</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5432B53E">
            <w:pPr>
              <w:spacing w:line="360" w:lineRule="auto"/>
              <w:jc w:val="left"/>
              <w:rPr>
                <w:rFonts w:hint="eastAsia" w:ascii="Times New Roman" w:hAnsi="Times New Roman"/>
                <w:sz w:val="24"/>
                <w:szCs w:val="24"/>
              </w:rPr>
            </w:pPr>
            <w:r>
              <w:rPr>
                <w:rFonts w:hint="eastAsia" w:ascii="Times New Roman" w:hAnsi="Times New Roman"/>
                <w:sz w:val="24"/>
                <w:szCs w:val="24"/>
              </w:rPr>
              <w:t>知识目标：</w:t>
            </w:r>
          </w:p>
          <w:p w14:paraId="10FAD454">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1.了解车站车票状态的主要内容。</w:t>
            </w:r>
          </w:p>
          <w:p w14:paraId="04363522">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2.理解票制的分类。</w:t>
            </w:r>
          </w:p>
          <w:p w14:paraId="1DB7CEE6">
            <w:pPr>
              <w:spacing w:line="360" w:lineRule="auto"/>
              <w:jc w:val="left"/>
              <w:rPr>
                <w:rFonts w:hint="default" w:ascii="Times New Roman" w:hAnsi="Times New Roman"/>
                <w:sz w:val="24"/>
                <w:szCs w:val="24"/>
                <w:lang w:val="en-US"/>
              </w:rPr>
            </w:pPr>
            <w:r>
              <w:rPr>
                <w:rFonts w:hint="eastAsia" w:ascii="Times New Roman" w:hAnsi="Times New Roman"/>
                <w:sz w:val="24"/>
                <w:szCs w:val="24"/>
                <w:lang w:val="en-US" w:eastAsia="zh-CN"/>
              </w:rPr>
              <w:t>3.理解车票运作流程及管理。</w:t>
            </w:r>
          </w:p>
          <w:p w14:paraId="1A89CF0A">
            <w:pPr>
              <w:spacing w:line="360" w:lineRule="auto"/>
              <w:jc w:val="left"/>
              <w:rPr>
                <w:rFonts w:hint="eastAsia" w:ascii="Times New Roman" w:hAnsi="Times New Roman"/>
                <w:sz w:val="24"/>
                <w:szCs w:val="24"/>
              </w:rPr>
            </w:pPr>
            <w:r>
              <w:rPr>
                <w:rFonts w:hint="eastAsia" w:ascii="Times New Roman" w:hAnsi="Times New Roman"/>
                <w:sz w:val="24"/>
                <w:szCs w:val="24"/>
              </w:rPr>
              <w:t>能力目标：</w:t>
            </w:r>
          </w:p>
          <w:p w14:paraId="6B1609A6">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1.能够介绍单一票制和计程票制。</w:t>
            </w:r>
          </w:p>
          <w:p w14:paraId="0D772CF5">
            <w:pPr>
              <w:spacing w:line="360" w:lineRule="auto"/>
              <w:jc w:val="left"/>
              <w:rPr>
                <w:rFonts w:hint="eastAsia" w:ascii="宋体" w:hAnsi="宋体" w:cs="楷体"/>
                <w:sz w:val="24"/>
              </w:rPr>
            </w:pPr>
            <w:r>
              <w:rPr>
                <w:rFonts w:hint="eastAsia" w:ascii="Times New Roman" w:hAnsi="Times New Roman"/>
                <w:sz w:val="24"/>
                <w:szCs w:val="24"/>
                <w:lang w:val="en-US" w:eastAsia="zh-CN"/>
              </w:rPr>
              <w:t>2.掌握票价的确定流程。</w:t>
            </w:r>
          </w:p>
        </w:tc>
      </w:tr>
      <w:tr w14:paraId="483EBB59">
        <w:tblPrEx>
          <w:tblCellMar>
            <w:top w:w="0" w:type="dxa"/>
            <w:left w:w="10" w:type="dxa"/>
            <w:bottom w:w="0" w:type="dxa"/>
            <w:right w:w="10" w:type="dxa"/>
          </w:tblCellMar>
        </w:tblPrEx>
        <w:trPr>
          <w:trHeight w:val="398"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BF4A295">
            <w:pPr>
              <w:jc w:val="center"/>
              <w:rPr>
                <w:rFonts w:ascii="宋体" w:cs="宋体"/>
                <w:b/>
                <w:sz w:val="28"/>
              </w:rPr>
            </w:pPr>
            <w:r>
              <w:rPr>
                <w:rFonts w:ascii="宋体" w:cs="宋体"/>
                <w:b/>
                <w:sz w:val="28"/>
              </w:rPr>
              <w:t>教学</w:t>
            </w:r>
            <w:r>
              <w:rPr>
                <w:rFonts w:hint="eastAsia" w:ascii="宋体" w:cs="宋体"/>
                <w:b/>
                <w:sz w:val="28"/>
              </w:rPr>
              <w:t>重</w:t>
            </w:r>
          </w:p>
          <w:p w14:paraId="230E2C9C">
            <w:pPr>
              <w:jc w:val="center"/>
              <w:rPr>
                <w:rFonts w:ascii="宋体" w:cs="宋体"/>
                <w:b/>
                <w:sz w:val="28"/>
              </w:rPr>
            </w:pPr>
            <w:r>
              <w:rPr>
                <w:rFonts w:hint="eastAsia" w:ascii="宋体" w:cs="宋体"/>
                <w:b/>
                <w:sz w:val="28"/>
              </w:rPr>
              <w:t>难点</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1D22786">
            <w:pPr>
              <w:spacing w:line="360" w:lineRule="auto"/>
              <w:rPr>
                <w:rFonts w:ascii="Times New Roman" w:hAnsi="Times New Roman"/>
                <w:bCs/>
                <w:sz w:val="24"/>
                <w:szCs w:val="24"/>
              </w:rPr>
            </w:pPr>
            <w:r>
              <w:rPr>
                <w:rFonts w:hint="eastAsia" w:ascii="Times New Roman" w:hAnsi="Times New Roman"/>
                <w:bCs/>
                <w:sz w:val="24"/>
                <w:szCs w:val="24"/>
              </w:rPr>
              <w:t>1.</w:t>
            </w:r>
            <w:r>
              <w:rPr>
                <w:rFonts w:hint="eastAsia" w:ascii="Times New Roman" w:hAnsi="Times New Roman"/>
                <w:bCs/>
                <w:sz w:val="24"/>
                <w:szCs w:val="24"/>
                <w:lang w:eastAsia="zh-CN"/>
              </w:rPr>
              <w:t>票务政策的基本概念和分类</w:t>
            </w:r>
            <w:r>
              <w:rPr>
                <w:rFonts w:hint="eastAsia" w:ascii="Times New Roman" w:hAnsi="Times New Roman"/>
                <w:bCs/>
                <w:sz w:val="24"/>
                <w:szCs w:val="24"/>
              </w:rPr>
              <w:t>。</w:t>
            </w:r>
          </w:p>
          <w:p w14:paraId="79DA56BE">
            <w:pPr>
              <w:spacing w:line="360" w:lineRule="auto"/>
              <w:rPr>
                <w:rFonts w:hint="eastAsia" w:ascii="微软雅黑" w:hAnsi="微软雅黑" w:eastAsia="微软雅黑"/>
                <w:sz w:val="24"/>
              </w:rPr>
            </w:pPr>
            <w:r>
              <w:rPr>
                <w:rFonts w:hint="eastAsia" w:ascii="Times New Roman" w:hAnsi="Times New Roman"/>
                <w:bCs/>
                <w:sz w:val="24"/>
                <w:szCs w:val="24"/>
              </w:rPr>
              <w:t>2.</w:t>
            </w:r>
            <w:r>
              <w:rPr>
                <w:rFonts w:hint="eastAsia" w:ascii="Times New Roman" w:hAnsi="Times New Roman"/>
                <w:bCs/>
                <w:sz w:val="24"/>
                <w:szCs w:val="24"/>
                <w:lang w:eastAsia="zh-CN"/>
              </w:rPr>
              <w:t>分析票务政策调整对乘客出行行为、运营成本及公共交通系统整体效益的影响</w:t>
            </w:r>
            <w:r>
              <w:rPr>
                <w:rFonts w:hint="eastAsia" w:ascii="Times New Roman" w:hAnsi="Times New Roman"/>
                <w:bCs/>
                <w:sz w:val="24"/>
                <w:szCs w:val="24"/>
              </w:rPr>
              <w:t>。</w:t>
            </w:r>
          </w:p>
        </w:tc>
      </w:tr>
      <w:tr w14:paraId="0D4C2EAB">
        <w:tblPrEx>
          <w:tblCellMar>
            <w:top w:w="0" w:type="dxa"/>
            <w:left w:w="10" w:type="dxa"/>
            <w:bottom w:w="0" w:type="dxa"/>
            <w:right w:w="10" w:type="dxa"/>
          </w:tblCellMar>
        </w:tblPrEx>
        <w:trPr>
          <w:trHeight w:val="432"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9A616C8">
            <w:pPr>
              <w:jc w:val="center"/>
              <w:rPr>
                <w:rFonts w:ascii="宋体" w:cs="宋体"/>
                <w:b/>
              </w:rPr>
            </w:pPr>
            <w:r>
              <w:rPr>
                <w:rFonts w:ascii="宋体" w:cs="宋体"/>
                <w:b/>
                <w:sz w:val="28"/>
              </w:rPr>
              <w:t>教学方法</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3C4BB24">
            <w:r>
              <w:rPr>
                <w:rFonts w:hint="eastAsia" w:ascii="Times New Roman" w:hAnsi="Times New Roman"/>
                <w:bCs/>
                <w:sz w:val="24"/>
                <w:szCs w:val="24"/>
              </w:rPr>
              <w:t>讲授法、互动问答法</w:t>
            </w:r>
          </w:p>
        </w:tc>
      </w:tr>
      <w:tr w14:paraId="1A35DB38">
        <w:tblPrEx>
          <w:tblCellMar>
            <w:top w:w="0" w:type="dxa"/>
            <w:left w:w="10" w:type="dxa"/>
            <w:bottom w:w="0" w:type="dxa"/>
            <w:right w:w="10" w:type="dxa"/>
          </w:tblCellMar>
        </w:tblPrEx>
        <w:trPr>
          <w:trHeight w:val="591"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EA720C0">
            <w:pPr>
              <w:jc w:val="center"/>
              <w:rPr>
                <w:rFonts w:ascii="宋体" w:cs="宋体"/>
                <w:b/>
                <w:sz w:val="28"/>
              </w:rPr>
            </w:pPr>
            <w:r>
              <w:rPr>
                <w:rFonts w:hint="eastAsia" w:ascii="宋体" w:cs="宋体"/>
                <w:b/>
                <w:sz w:val="28"/>
              </w:rPr>
              <w:t>教学媒体</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CA03C4B">
            <w:r>
              <w:rPr>
                <w:rFonts w:ascii="Times New Roman" w:hAnsi="Times New Roman"/>
                <w:sz w:val="24"/>
                <w:szCs w:val="24"/>
              </w:rPr>
              <w:t>多媒体</w:t>
            </w:r>
          </w:p>
        </w:tc>
      </w:tr>
      <w:tr w14:paraId="5353A8A0">
        <w:tblPrEx>
          <w:tblCellMar>
            <w:top w:w="0" w:type="dxa"/>
            <w:left w:w="10" w:type="dxa"/>
            <w:bottom w:w="0" w:type="dxa"/>
            <w:right w:w="10" w:type="dxa"/>
          </w:tblCellMar>
        </w:tblPrEx>
        <w:trPr>
          <w:trHeight w:val="390" w:hRule="atLeast"/>
        </w:trPr>
        <w:tc>
          <w:tcPr>
            <w:tcW w:w="10020" w:type="dxa"/>
            <w:gridSpan w:val="6"/>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F27C23F">
            <w:pPr>
              <w:jc w:val="center"/>
              <w:rPr>
                <w:rFonts w:ascii="宋体" w:cs="宋体"/>
              </w:rPr>
            </w:pPr>
            <w:r>
              <w:rPr>
                <w:rFonts w:ascii="宋体" w:cs="宋体"/>
                <w:b/>
                <w:sz w:val="28"/>
              </w:rPr>
              <w:t>教学过程</w:t>
            </w:r>
          </w:p>
        </w:tc>
      </w:tr>
      <w:tr w14:paraId="0A834541">
        <w:tblPrEx>
          <w:tblCellMar>
            <w:top w:w="0" w:type="dxa"/>
            <w:left w:w="10" w:type="dxa"/>
            <w:bottom w:w="0" w:type="dxa"/>
            <w:right w:w="10" w:type="dxa"/>
          </w:tblCellMar>
        </w:tblPrEx>
        <w:trPr>
          <w:trHeight w:val="254" w:hRule="atLeast"/>
        </w:trPr>
        <w:tc>
          <w:tcPr>
            <w:tcW w:w="1520" w:type="dxa"/>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vAlign w:val="center"/>
          </w:tcPr>
          <w:p w14:paraId="4B78F5BD">
            <w:pPr>
              <w:jc w:val="center"/>
              <w:rPr>
                <w:rFonts w:ascii="宋体" w:cs="宋体"/>
                <w:b/>
                <w:sz w:val="28"/>
              </w:rPr>
            </w:pPr>
            <w:r>
              <w:rPr>
                <w:rFonts w:hint="eastAsia" w:ascii="宋体" w:cs="宋体"/>
                <w:b/>
                <w:sz w:val="28"/>
              </w:rPr>
              <w:t>课前准备</w:t>
            </w:r>
          </w:p>
        </w:tc>
        <w:tc>
          <w:tcPr>
            <w:tcW w:w="8500" w:type="dxa"/>
            <w:gridSpan w:val="5"/>
            <w:tcBorders>
              <w:top w:val="single" w:color="auto" w:sz="4" w:space="0"/>
              <w:left w:val="single" w:color="auto" w:sz="4" w:space="0"/>
              <w:bottom w:val="single" w:color="000000" w:sz="4" w:space="0"/>
              <w:right w:val="single" w:color="000000" w:sz="4" w:space="0"/>
            </w:tcBorders>
            <w:shd w:val="clear" w:color="000000" w:fill="FFFFFF"/>
            <w:vAlign w:val="center"/>
          </w:tcPr>
          <w:p w14:paraId="7A7837E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1.教师做好教学准备，包括课件、教学视频等，调试多媒体</w:t>
            </w:r>
          </w:p>
          <w:p w14:paraId="7105E7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ascii="宋体" w:cs="宋体"/>
                <w:b/>
                <w:sz w:val="28"/>
              </w:rPr>
            </w:pPr>
            <w:r>
              <w:rPr>
                <w:rFonts w:hint="eastAsia" w:ascii="宋体" w:hAnsi="宋体" w:cs="楷体"/>
                <w:sz w:val="24"/>
              </w:rPr>
              <w:t>2.告知学生预习本次课</w:t>
            </w:r>
            <w:r>
              <w:rPr>
                <w:rFonts w:ascii="宋体" w:hAnsi="宋体" w:cs="楷体"/>
                <w:sz w:val="24"/>
              </w:rPr>
              <w:t>的相关</w:t>
            </w:r>
            <w:r>
              <w:rPr>
                <w:rFonts w:hint="eastAsia" w:ascii="宋体" w:hAnsi="宋体" w:cs="楷体"/>
                <w:sz w:val="24"/>
              </w:rPr>
              <w:t>内容</w:t>
            </w:r>
          </w:p>
        </w:tc>
      </w:tr>
      <w:tr w14:paraId="4C63475D">
        <w:tblPrEx>
          <w:tblCellMar>
            <w:top w:w="0" w:type="dxa"/>
            <w:left w:w="10" w:type="dxa"/>
            <w:bottom w:w="0" w:type="dxa"/>
            <w:right w:w="10" w:type="dxa"/>
          </w:tblCellMar>
        </w:tblPrEx>
        <w:trPr>
          <w:trHeight w:val="153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9048B3A">
            <w:pPr>
              <w:rPr>
                <w:rFonts w:ascii="宋体" w:cs="宋体"/>
                <w:b/>
                <w:sz w:val="28"/>
              </w:rPr>
            </w:pPr>
            <w:r>
              <w:rPr>
                <w:rFonts w:ascii="宋体" w:cs="宋体"/>
                <w:b/>
                <w:sz w:val="28"/>
              </w:rPr>
              <w:t>教学环节</w:t>
            </w:r>
            <w:r>
              <w:rPr>
                <w:rFonts w:ascii="宋体" w:cs="宋体"/>
                <w:b/>
                <w:sz w:val="22"/>
              </w:rPr>
              <w:t>（时间分配）</w:t>
            </w:r>
          </w:p>
        </w:tc>
        <w:tc>
          <w:tcPr>
            <w:tcW w:w="3017" w:type="dxa"/>
            <w:gridSpan w:val="2"/>
            <w:tcBorders>
              <w:top w:val="single" w:color="auto" w:sz="4" w:space="0"/>
              <w:left w:val="single" w:color="000000" w:sz="4" w:space="0"/>
              <w:bottom w:val="single" w:color="auto" w:sz="4" w:space="0"/>
              <w:right w:val="single" w:color="auto" w:sz="4" w:space="0"/>
            </w:tcBorders>
            <w:shd w:val="clear" w:color="000000" w:fill="FFFFFF"/>
            <w:tcMar>
              <w:left w:w="108" w:type="dxa"/>
              <w:right w:w="108" w:type="dxa"/>
            </w:tcMar>
            <w:vAlign w:val="center"/>
          </w:tcPr>
          <w:p w14:paraId="6E5E2E3F">
            <w:pPr>
              <w:jc w:val="center"/>
              <w:rPr>
                <w:rFonts w:ascii="宋体" w:cs="宋体"/>
                <w:b/>
                <w:sz w:val="28"/>
              </w:rPr>
            </w:pPr>
            <w:r>
              <w:rPr>
                <w:rFonts w:hint="eastAsia" w:ascii="宋体" w:cs="宋体"/>
                <w:b/>
                <w:sz w:val="28"/>
              </w:rPr>
              <w:t>教学内容及要点</w:t>
            </w:r>
          </w:p>
        </w:tc>
        <w:tc>
          <w:tcPr>
            <w:tcW w:w="2452" w:type="dxa"/>
            <w:tcBorders>
              <w:top w:val="single" w:color="auto" w:sz="4" w:space="0"/>
              <w:left w:val="single" w:color="auto" w:sz="4" w:space="0"/>
              <w:bottom w:val="single" w:color="000000" w:sz="4" w:space="0"/>
              <w:right w:val="single" w:color="000000" w:sz="4" w:space="0"/>
            </w:tcBorders>
            <w:shd w:val="clear" w:color="000000" w:fill="FFFFFF"/>
            <w:vAlign w:val="center"/>
          </w:tcPr>
          <w:p w14:paraId="2E212298">
            <w:pPr>
              <w:jc w:val="center"/>
              <w:rPr>
                <w:rFonts w:ascii="宋体" w:cs="宋体"/>
                <w:b/>
                <w:sz w:val="28"/>
              </w:rPr>
            </w:pPr>
            <w:r>
              <w:rPr>
                <w:rFonts w:hint="eastAsia" w:ascii="宋体" w:cs="宋体"/>
                <w:b/>
                <w:sz w:val="28"/>
              </w:rPr>
              <w:t>师生双边活动</w:t>
            </w: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838F6DD">
            <w:pPr>
              <w:rPr>
                <w:rFonts w:ascii="宋体" w:cs="宋体"/>
                <w:b/>
                <w:sz w:val="28"/>
              </w:rPr>
            </w:pPr>
            <w:r>
              <w:rPr>
                <w:rFonts w:ascii="宋体" w:cs="宋体"/>
                <w:b/>
                <w:sz w:val="28"/>
              </w:rPr>
              <w:t>设计意图</w:t>
            </w:r>
          </w:p>
        </w:tc>
      </w:tr>
      <w:tr w14:paraId="5F97D279">
        <w:tblPrEx>
          <w:tblCellMar>
            <w:top w:w="0" w:type="dxa"/>
            <w:left w:w="10" w:type="dxa"/>
            <w:bottom w:w="0" w:type="dxa"/>
            <w:right w:w="10" w:type="dxa"/>
          </w:tblCellMar>
        </w:tblPrEx>
        <w:trPr>
          <w:trHeight w:val="784"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17B594C7">
            <w:pPr>
              <w:ind w:firstLine="141" w:firstLineChars="50"/>
              <w:jc w:val="center"/>
              <w:rPr>
                <w:rFonts w:ascii="宋体" w:cs="宋体"/>
                <w:b/>
                <w:sz w:val="28"/>
              </w:rPr>
            </w:pPr>
            <w:r>
              <w:rPr>
                <w:rFonts w:ascii="宋体" w:cs="宋体"/>
                <w:b/>
                <w:sz w:val="28"/>
              </w:rPr>
              <w:t>导</w:t>
            </w:r>
          </w:p>
          <w:p w14:paraId="2C194F8A">
            <w:pPr>
              <w:ind w:firstLine="141" w:firstLineChars="50"/>
              <w:jc w:val="center"/>
            </w:pPr>
            <w:r>
              <w:rPr>
                <w:rFonts w:ascii="宋体" w:cs="宋体"/>
                <w:b/>
                <w:sz w:val="28"/>
              </w:rPr>
              <w:t>入</w:t>
            </w:r>
          </w:p>
        </w:tc>
        <w:tc>
          <w:tcPr>
            <w:tcW w:w="3017" w:type="dxa"/>
            <w:gridSpan w:val="2"/>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tcPr>
          <w:p w14:paraId="69BB59A6">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生活实例：通过分享一个关于城市轨道交通票务政策的真实案例或新闻，引发学生兴趣</w:t>
            </w:r>
          </w:p>
          <w:p w14:paraId="200A684E">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问题导入：提出“为什么城市轨道交通需要制定票务政策？”“票务政策如何影响我们的出行？”等问题</w:t>
            </w:r>
            <w:bookmarkStart w:id="0" w:name="_GoBack"/>
            <w:bookmarkEnd w:id="0"/>
            <w:r>
              <w:rPr>
                <w:rFonts w:hint="eastAsia" w:ascii="Times New Roman" w:hAnsi="Times New Roman"/>
                <w:bCs/>
                <w:sz w:val="24"/>
                <w:szCs w:val="24"/>
                <w:lang w:eastAsia="zh-CN"/>
              </w:rPr>
              <w:t>。</w:t>
            </w:r>
          </w:p>
        </w:tc>
        <w:tc>
          <w:tcPr>
            <w:tcW w:w="2452" w:type="dxa"/>
            <w:tcBorders>
              <w:top w:val="single" w:color="000000" w:sz="4" w:space="0"/>
              <w:left w:val="single" w:color="auto" w:sz="4" w:space="0"/>
              <w:bottom w:val="single" w:color="000000" w:sz="4" w:space="0"/>
              <w:right w:val="single" w:color="000000" w:sz="4" w:space="0"/>
            </w:tcBorders>
            <w:shd w:val="clear" w:color="000000" w:fill="FFFFFF"/>
          </w:tcPr>
          <w:p w14:paraId="7BA0B40F">
            <w:pPr>
              <w:rPr>
                <w:rFonts w:ascii="宋体" w:cs="宋体"/>
                <w:sz w:val="22"/>
              </w:rPr>
            </w:pPr>
            <w:r>
              <w:rPr>
                <w:rFonts w:ascii="Times New Roman" w:hAnsi="Times New Roman"/>
                <w:sz w:val="24"/>
                <w:szCs w:val="24"/>
              </w:rPr>
              <w:t>学生思考后，教师补充</w:t>
            </w:r>
          </w:p>
          <w:p w14:paraId="5F2892F1">
            <w:pPr>
              <w:rPr>
                <w:rFonts w:ascii="宋体" w:cs="宋体"/>
                <w:sz w:val="22"/>
              </w:rPr>
            </w:pP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7E7410D4">
            <w:pPr>
              <w:spacing w:line="379" w:lineRule="auto"/>
              <w:rPr>
                <w:rFonts w:ascii="Times New Roman" w:hAnsi="Times New Roman"/>
                <w:sz w:val="24"/>
              </w:rPr>
            </w:pPr>
            <w:r>
              <w:rPr>
                <w:rFonts w:hint="eastAsia" w:ascii="Times New Roman" w:hAnsi="Times New Roman"/>
                <w:sz w:val="24"/>
                <w:lang w:val="en-US" w:eastAsia="zh-CN"/>
              </w:rPr>
              <w:t>通过观看案例让学生直观感受</w:t>
            </w:r>
            <w:r>
              <w:rPr>
                <w:rFonts w:hint="eastAsia" w:ascii="Times New Roman" w:hAnsi="Times New Roman"/>
                <w:bCs/>
                <w:sz w:val="24"/>
                <w:szCs w:val="24"/>
                <w:lang w:eastAsia="zh-CN"/>
              </w:rPr>
              <w:t>票务政策在日常生活中的作用，引导学生思考票务政策在日常生活中的作用。</w:t>
            </w:r>
            <w:r>
              <w:rPr>
                <w:rFonts w:hint="eastAsia" w:ascii="Times New Roman" w:hAnsi="Times New Roman"/>
                <w:sz w:val="24"/>
              </w:rPr>
              <w:t>。</w:t>
            </w:r>
          </w:p>
          <w:p w14:paraId="57BE4C0D">
            <w:pPr>
              <w:spacing w:line="379" w:lineRule="auto"/>
              <w:rPr>
                <w:rFonts w:ascii="Times New Roman" w:hAnsi="Times New Roman"/>
                <w:sz w:val="24"/>
              </w:rPr>
            </w:pPr>
          </w:p>
          <w:p w14:paraId="48FE08A5">
            <w:pPr>
              <w:spacing w:line="379" w:lineRule="auto"/>
              <w:rPr>
                <w:rFonts w:ascii="Times New Roman" w:hAnsi="Times New Roman"/>
                <w:sz w:val="24"/>
              </w:rPr>
            </w:pPr>
          </w:p>
          <w:p w14:paraId="7CA66848">
            <w:pPr>
              <w:spacing w:line="379" w:lineRule="auto"/>
              <w:rPr>
                <w:rFonts w:ascii="Times New Roman" w:hAnsi="Times New Roman"/>
                <w:sz w:val="24"/>
              </w:rPr>
            </w:pPr>
          </w:p>
          <w:p w14:paraId="549E7FC0">
            <w:pPr>
              <w:spacing w:line="379" w:lineRule="auto"/>
              <w:rPr>
                <w:rFonts w:ascii="Times New Roman" w:hAnsi="Times New Roman"/>
                <w:sz w:val="24"/>
              </w:rPr>
            </w:pPr>
            <w:r>
              <w:rPr>
                <w:rFonts w:hint="eastAsia" w:ascii="Times New Roman" w:hAnsi="Times New Roman"/>
                <w:sz w:val="24"/>
              </w:rPr>
              <w:t>提出问题，引发学生思考。</w:t>
            </w:r>
          </w:p>
        </w:tc>
      </w:tr>
    </w:tbl>
    <w:tbl>
      <w:tblPr>
        <w:tblStyle w:val="3"/>
        <w:tblW w:w="10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9"/>
        <w:gridCol w:w="5479"/>
        <w:gridCol w:w="1515"/>
        <w:gridCol w:w="6"/>
        <w:gridCol w:w="1522"/>
      </w:tblGrid>
      <w:tr w14:paraId="44B6E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1509" w:type="dxa"/>
            <w:vMerge w:val="restart"/>
            <w:shd w:val="clear" w:color="auto" w:fill="FFFFFF" w:themeFill="background1"/>
          </w:tcPr>
          <w:p w14:paraId="5E72511C">
            <w:pPr>
              <w:jc w:val="center"/>
              <w:rPr>
                <w:rFonts w:ascii="宋体" w:cs="宋体"/>
                <w:b/>
                <w:sz w:val="28"/>
              </w:rPr>
            </w:pPr>
            <w:r>
              <w:rPr>
                <w:rFonts w:hint="eastAsia" w:ascii="宋体" w:cs="宋体"/>
                <w:b/>
                <w:sz w:val="28"/>
              </w:rPr>
              <w:t>教</w:t>
            </w:r>
          </w:p>
          <w:p w14:paraId="629E8140">
            <w:pPr>
              <w:rPr>
                <w:rFonts w:hint="eastAsia" w:ascii="宋体" w:cs="宋体"/>
                <w:b/>
                <w:sz w:val="28"/>
              </w:rPr>
            </w:pPr>
          </w:p>
          <w:p w14:paraId="75D16B88">
            <w:pPr>
              <w:jc w:val="center"/>
              <w:rPr>
                <w:rFonts w:cs="Calibri"/>
                <w:b/>
                <w:sz w:val="28"/>
              </w:rPr>
            </w:pPr>
            <w:r>
              <w:rPr>
                <w:rFonts w:hint="eastAsia" w:ascii="宋体" w:cs="宋体"/>
                <w:b/>
                <w:sz w:val="28"/>
              </w:rPr>
              <w:t>学</w:t>
            </w:r>
          </w:p>
          <w:p w14:paraId="7E174733">
            <w:pPr>
              <w:rPr>
                <w:rFonts w:ascii="宋体" w:cs="Calibri"/>
                <w:b/>
                <w:sz w:val="28"/>
              </w:rPr>
            </w:pPr>
          </w:p>
          <w:p w14:paraId="5E136709">
            <w:pPr>
              <w:jc w:val="center"/>
              <w:rPr>
                <w:rFonts w:cs="Calibri"/>
                <w:b/>
                <w:sz w:val="28"/>
              </w:rPr>
            </w:pPr>
            <w:r>
              <w:rPr>
                <w:rFonts w:hint="eastAsia" w:ascii="宋体" w:cs="Calibri"/>
                <w:b/>
                <w:sz w:val="28"/>
              </w:rPr>
              <w:t>过</w:t>
            </w:r>
          </w:p>
          <w:p w14:paraId="2964B9AF">
            <w:pPr>
              <w:jc w:val="center"/>
              <w:rPr>
                <w:rFonts w:ascii="宋体" w:cs="宋体"/>
                <w:b/>
                <w:sz w:val="28"/>
              </w:rPr>
            </w:pPr>
          </w:p>
          <w:p w14:paraId="18343A41">
            <w:pPr>
              <w:jc w:val="center"/>
              <w:rPr>
                <w:rFonts w:ascii="宋体" w:cs="宋体"/>
                <w:b/>
                <w:sz w:val="28"/>
              </w:rPr>
            </w:pPr>
            <w:r>
              <w:rPr>
                <w:rFonts w:hint="eastAsia" w:ascii="宋体" w:cs="宋体"/>
                <w:b/>
                <w:sz w:val="28"/>
              </w:rPr>
              <w:t>程</w:t>
            </w:r>
          </w:p>
          <w:p w14:paraId="0A5373A2"/>
        </w:tc>
        <w:tc>
          <w:tcPr>
            <w:tcW w:w="5479" w:type="dxa"/>
            <w:shd w:val="clear" w:color="auto" w:fill="FFFFFF" w:themeFill="background1"/>
            <w:vAlign w:val="top"/>
          </w:tcPr>
          <w:p w14:paraId="0DFFE4F4">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（一）车票状态</w:t>
            </w:r>
          </w:p>
          <w:p w14:paraId="25AE2E4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1.按车票出入站状态分类</w:t>
            </w:r>
          </w:p>
          <w:p w14:paraId="55B8D9D0">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车票按出入站的状态，可分为“已入站”和“未入站”两种状态。这是判断车票状态与乘客所属状态是否一致的重要信息，能够为处理票务问题提供依据。</w:t>
            </w:r>
          </w:p>
          <w:p w14:paraId="23C864D2">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已入站：是指乘客入站时，车票经进站闸机刷卡后所处的状态，已被写入了进站码等进站信息。</w:t>
            </w:r>
          </w:p>
          <w:p w14:paraId="5C08D2B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未入站：是指车票初始化后，经车站自动、半自动售票机售出，还未经过进站闸机刷卡使用时的状态，只有出售信息，还未写入进站信息。</w:t>
            </w:r>
          </w:p>
        </w:tc>
        <w:tc>
          <w:tcPr>
            <w:tcW w:w="1521" w:type="dxa"/>
            <w:gridSpan w:val="2"/>
            <w:shd w:val="clear" w:color="auto" w:fill="FFFFFF" w:themeFill="background1"/>
            <w:vAlign w:val="center"/>
          </w:tcPr>
          <w:p w14:paraId="54B51E7D">
            <w:pPr>
              <w:rPr>
                <w:rFonts w:hint="eastAsia" w:eastAsia="宋体"/>
                <w:sz w:val="24"/>
                <w:szCs w:val="28"/>
                <w:lang w:val="en-US" w:eastAsia="zh-CN"/>
              </w:rPr>
            </w:pPr>
            <w:r>
              <w:rPr>
                <w:rFonts w:hint="eastAsia"/>
                <w:sz w:val="24"/>
                <w:szCs w:val="28"/>
                <w:lang w:val="en-US" w:eastAsia="zh-CN"/>
              </w:rPr>
              <w:t>邀请学生阅读</w:t>
            </w:r>
          </w:p>
        </w:tc>
        <w:tc>
          <w:tcPr>
            <w:tcW w:w="1522" w:type="dxa"/>
            <w:shd w:val="clear" w:color="auto" w:fill="FFFFFF" w:themeFill="background1"/>
            <w:vAlign w:val="center"/>
          </w:tcPr>
          <w:p w14:paraId="435F93D3">
            <w:pPr>
              <w:rPr>
                <w:rFonts w:hint="default"/>
                <w:lang w:val="en-US"/>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按车票出入站状态分类</w:t>
            </w:r>
            <w:r>
              <w:rPr>
                <w:rFonts w:hint="eastAsia" w:ascii="Times New Roman" w:hAnsi="Times New Roman" w:cs="Times New Roman"/>
                <w:bCs/>
                <w:kern w:val="2"/>
                <w:sz w:val="24"/>
                <w:szCs w:val="24"/>
                <w:lang w:val="en-US" w:eastAsia="zh-CN" w:bidi="ar-SA"/>
              </w:rPr>
              <w:t>的知识</w:t>
            </w:r>
          </w:p>
        </w:tc>
      </w:tr>
      <w:tr w14:paraId="32497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C23E43"/>
        </w:tc>
        <w:tc>
          <w:tcPr>
            <w:tcW w:w="5479" w:type="dxa"/>
            <w:shd w:val="clear" w:color="auto" w:fill="FFFFFF" w:themeFill="background1"/>
            <w:vAlign w:val="top"/>
          </w:tcPr>
          <w:p w14:paraId="49CF34B0">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2.按是否被发售分类</w:t>
            </w:r>
          </w:p>
          <w:p w14:paraId="3209D61A">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未售：是指车票经过初始化后配发到车站，还未被发售前所处的状态。</w:t>
            </w:r>
          </w:p>
          <w:p w14:paraId="1D48D83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已售：是指车票经自动售票机、半自动售票机售出后所处的状态。预制单程票经过初始化后配发到车站就已处于“已售”状态。</w:t>
            </w:r>
          </w:p>
          <w:p w14:paraId="43EFA0D1">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回收：是指单程票由出站闸机回收后所处的状态，或者经过退卡操作后所处的状态，处于此状态的单程票可供车站循环发售。储值票经过退票处理后也处于“回收”状态。</w:t>
            </w:r>
          </w:p>
        </w:tc>
        <w:tc>
          <w:tcPr>
            <w:tcW w:w="1515" w:type="dxa"/>
            <w:shd w:val="clear" w:color="auto" w:fill="FFFFFF" w:themeFill="background1"/>
            <w:vAlign w:val="center"/>
          </w:tcPr>
          <w:p w14:paraId="63E3986F">
            <w:pPr>
              <w:rPr>
                <w:sz w:val="24"/>
                <w:szCs w:val="28"/>
              </w:rPr>
            </w:pPr>
            <w:r>
              <w:rPr>
                <w:rFonts w:hint="eastAsia"/>
                <w:sz w:val="24"/>
                <w:szCs w:val="28"/>
                <w:lang w:val="en-US" w:eastAsia="zh-CN"/>
              </w:rPr>
              <w:t>邀请学生阅读</w:t>
            </w:r>
          </w:p>
        </w:tc>
        <w:tc>
          <w:tcPr>
            <w:tcW w:w="1528" w:type="dxa"/>
            <w:gridSpan w:val="2"/>
            <w:shd w:val="clear" w:color="auto" w:fill="FFFFFF" w:themeFill="background1"/>
            <w:vAlign w:val="center"/>
          </w:tcPr>
          <w:p w14:paraId="2D5BB55D">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按是否被发售分类</w:t>
            </w:r>
            <w:r>
              <w:rPr>
                <w:rFonts w:hint="eastAsia" w:ascii="Times New Roman" w:hAnsi="Times New Roman" w:cs="Times New Roman"/>
                <w:bCs/>
                <w:kern w:val="2"/>
                <w:sz w:val="24"/>
                <w:szCs w:val="24"/>
                <w:lang w:val="en-US" w:eastAsia="zh-CN" w:bidi="ar-SA"/>
              </w:rPr>
              <w:t>的知识</w:t>
            </w:r>
          </w:p>
        </w:tc>
      </w:tr>
      <w:tr w14:paraId="16955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94A21A"/>
        </w:tc>
        <w:tc>
          <w:tcPr>
            <w:tcW w:w="5479" w:type="dxa"/>
            <w:shd w:val="clear" w:color="auto" w:fill="FFFFFF" w:themeFill="background1"/>
            <w:vAlign w:val="top"/>
          </w:tcPr>
          <w:p w14:paraId="759FB8AC">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（二）票制</w:t>
            </w:r>
          </w:p>
          <w:p w14:paraId="588BD83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城市轨道交通采用的票价制式主要有基本票价制和辅助票价制。城市轨道交通票价制式如图2-13所示。</w:t>
            </w:r>
          </w:p>
          <w:p w14:paraId="15FF9E88">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drawing>
                <wp:inline distT="0" distB="0" distL="114300" distR="114300">
                  <wp:extent cx="3335655" cy="2077720"/>
                  <wp:effectExtent l="0" t="0" r="17145" b="17780"/>
                  <wp:docPr id="2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0"/>
                          <pic:cNvPicPr>
                            <a:picLocks noChangeAspect="1"/>
                          </pic:cNvPicPr>
                        </pic:nvPicPr>
                        <pic:blipFill>
                          <a:blip r:embed="rId4"/>
                          <a:stretch>
                            <a:fillRect/>
                          </a:stretch>
                        </pic:blipFill>
                        <pic:spPr>
                          <a:xfrm>
                            <a:off x="0" y="0"/>
                            <a:ext cx="3335655" cy="2077720"/>
                          </a:xfrm>
                          <a:prstGeom prst="rect">
                            <a:avLst/>
                          </a:prstGeom>
                          <a:noFill/>
                          <a:ln>
                            <a:noFill/>
                          </a:ln>
                        </pic:spPr>
                      </pic:pic>
                    </a:graphicData>
                  </a:graphic>
                </wp:inline>
              </w:drawing>
            </w:r>
          </w:p>
        </w:tc>
        <w:tc>
          <w:tcPr>
            <w:tcW w:w="1515" w:type="dxa"/>
            <w:shd w:val="clear" w:color="auto" w:fill="FFFFFF" w:themeFill="background1"/>
            <w:vAlign w:val="center"/>
          </w:tcPr>
          <w:p w14:paraId="5F47C2D2">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eastAsia="宋体"/>
                <w:lang w:val="en-US" w:eastAsia="zh-CN"/>
              </w:rPr>
            </w:pPr>
            <w:r>
              <w:rPr>
                <w:rFonts w:hint="eastAsia"/>
                <w:lang w:val="en-US" w:eastAsia="zh-CN"/>
              </w:rPr>
              <w:t>展示</w:t>
            </w:r>
            <w:r>
              <w:rPr>
                <w:rFonts w:hint="eastAsia" w:ascii="Times New Roman" w:hAnsi="Times New Roman" w:eastAsia="宋体" w:cs="Times New Roman"/>
                <w:bCs/>
                <w:kern w:val="2"/>
                <w:sz w:val="24"/>
                <w:szCs w:val="24"/>
                <w:lang w:val="en-US" w:eastAsia="zh-CN" w:bidi="ar-SA"/>
              </w:rPr>
              <w:t>城市轨道交通票价制式</w:t>
            </w:r>
            <w:r>
              <w:rPr>
                <w:rFonts w:hint="eastAsia" w:ascii="Times New Roman" w:hAnsi="Times New Roman" w:cs="Times New Roman"/>
                <w:bCs/>
                <w:kern w:val="2"/>
                <w:sz w:val="24"/>
                <w:szCs w:val="24"/>
                <w:lang w:val="en-US" w:eastAsia="zh-CN" w:bidi="ar-SA"/>
              </w:rPr>
              <w:t>图</w:t>
            </w:r>
          </w:p>
        </w:tc>
        <w:tc>
          <w:tcPr>
            <w:tcW w:w="1528" w:type="dxa"/>
            <w:gridSpan w:val="2"/>
            <w:shd w:val="clear" w:color="auto" w:fill="FFFFFF" w:themeFill="background1"/>
            <w:vAlign w:val="center"/>
          </w:tcPr>
          <w:p w14:paraId="5F09D09F">
            <w:pPr>
              <w:rPr>
                <w:rFonts w:hint="default" w:eastAsia="宋体"/>
                <w:lang w:val="en-US" w:eastAsia="zh-CN"/>
              </w:rPr>
            </w:pPr>
            <w:r>
              <w:rPr>
                <w:rFonts w:hint="eastAsia"/>
                <w:lang w:val="en-US" w:eastAsia="zh-CN"/>
              </w:rPr>
              <w:t>让学生对</w:t>
            </w:r>
            <w:r>
              <w:rPr>
                <w:rFonts w:hint="eastAsia" w:ascii="Times New Roman" w:hAnsi="Times New Roman" w:eastAsia="宋体" w:cs="Times New Roman"/>
                <w:bCs/>
                <w:kern w:val="2"/>
                <w:sz w:val="24"/>
                <w:szCs w:val="24"/>
                <w:lang w:val="en-US" w:eastAsia="zh-CN" w:bidi="ar-SA"/>
              </w:rPr>
              <w:t>城市轨道交通票价制式</w:t>
            </w:r>
            <w:r>
              <w:rPr>
                <w:rFonts w:hint="eastAsia" w:ascii="Times New Roman" w:hAnsi="Times New Roman" w:cs="Times New Roman"/>
                <w:bCs/>
                <w:kern w:val="2"/>
                <w:sz w:val="24"/>
                <w:szCs w:val="24"/>
                <w:lang w:val="en-US" w:eastAsia="zh-CN" w:bidi="ar-SA"/>
              </w:rPr>
              <w:t>有初步的了解</w:t>
            </w:r>
          </w:p>
        </w:tc>
      </w:tr>
      <w:tr w14:paraId="23AE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A5A0138"/>
        </w:tc>
        <w:tc>
          <w:tcPr>
            <w:tcW w:w="5479" w:type="dxa"/>
            <w:shd w:val="clear" w:color="auto" w:fill="FFFFFF" w:themeFill="background1"/>
            <w:vAlign w:val="top"/>
          </w:tcPr>
          <w:p w14:paraId="3D7690AA">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1.基本票价制</w:t>
            </w:r>
          </w:p>
          <w:p w14:paraId="54973922">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（1）单一票价制。</w:t>
            </w:r>
          </w:p>
          <w:p w14:paraId="14F78B5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单一票价制指的是无论乘坐多远，整个网络都只出售一种价格的车票。目前，许多国外城市，例如纽约和莫斯科，都采用了这种制度。</w:t>
            </w:r>
          </w:p>
        </w:tc>
        <w:tc>
          <w:tcPr>
            <w:tcW w:w="1515" w:type="dxa"/>
            <w:shd w:val="clear" w:color="auto" w:fill="FFFFFF" w:themeFill="background1"/>
            <w:vAlign w:val="center"/>
          </w:tcPr>
          <w:p w14:paraId="7897749D">
            <w:pPr>
              <w:rPr>
                <w:sz w:val="24"/>
                <w:szCs w:val="28"/>
              </w:rPr>
            </w:pPr>
            <w:r>
              <w:rPr>
                <w:rFonts w:hint="eastAsia"/>
                <w:sz w:val="24"/>
                <w:szCs w:val="28"/>
                <w:lang w:val="en-US" w:eastAsia="zh-CN"/>
              </w:rPr>
              <w:t>邀请学生阅读</w:t>
            </w:r>
          </w:p>
        </w:tc>
        <w:tc>
          <w:tcPr>
            <w:tcW w:w="1528" w:type="dxa"/>
            <w:gridSpan w:val="2"/>
            <w:shd w:val="clear" w:color="auto" w:fill="FFFFFF" w:themeFill="background1"/>
            <w:vAlign w:val="center"/>
          </w:tcPr>
          <w:p w14:paraId="1CE8A280">
            <w:pPr>
              <w:rPr>
                <w:rFonts w:hint="default"/>
                <w:lang w:val="en-US"/>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单一票价制</w:t>
            </w:r>
            <w:r>
              <w:rPr>
                <w:rFonts w:hint="eastAsia" w:ascii="Times New Roman" w:hAnsi="Times New Roman" w:cs="Times New Roman"/>
                <w:bCs/>
                <w:kern w:val="2"/>
                <w:sz w:val="24"/>
                <w:szCs w:val="24"/>
                <w:lang w:val="en-US" w:eastAsia="zh-CN" w:bidi="ar-SA"/>
              </w:rPr>
              <w:t>的知识</w:t>
            </w:r>
          </w:p>
        </w:tc>
      </w:tr>
      <w:tr w14:paraId="7E09D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5C98551"/>
        </w:tc>
        <w:tc>
          <w:tcPr>
            <w:tcW w:w="5479" w:type="dxa"/>
            <w:shd w:val="clear" w:color="auto" w:fill="FFFFFF" w:themeFill="background1"/>
          </w:tcPr>
          <w:p w14:paraId="4EE9C33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（2）计程票价制。</w:t>
            </w:r>
          </w:p>
          <w:p w14:paraId="07A3C6F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根据乘客旅程的远近来决定票价的计程票制，尽管管理起来较为烦琐，却能制定出更为公平的票价，从而吸引更多乘客。全球多数城市的地铁系统都采纳了这种计费方式。计程票价制主要分为两种：一种是基于乘坐区间数量的分段计价，另一种是基于行驶里程的分段计价。分段计价意味着根据乘客所乘坐的车站区间数目或行驶距离来收取不同级别的费用。以重庆地铁为例，它实行的是基于里程的递远递减计费方式：乘客在270分钟内乘坐轨道交通1次，票价将根据行驶的里程来计算，起价为2元，上限为10元。票价标准为：起步价2元［0~6千米（含）］，3元［6~11千米（含）］，4元［11~17千米（含）］，5元［17~24千米（含）］，6元［24~32千米（含）］，7元［32~41千米（含）］，8元［41~51千米（含）］，9元［51~63千米（含）］，10元［63千米以上］。</w:t>
            </w:r>
          </w:p>
        </w:tc>
        <w:tc>
          <w:tcPr>
            <w:tcW w:w="1515" w:type="dxa"/>
            <w:shd w:val="clear" w:color="auto" w:fill="FFFFFF" w:themeFill="background1"/>
            <w:vAlign w:val="center"/>
          </w:tcPr>
          <w:p w14:paraId="044CA827">
            <w:r>
              <w:rPr>
                <w:rFonts w:ascii="Times New Roman" w:hAnsi="Times New Roman"/>
                <w:sz w:val="24"/>
                <w:szCs w:val="24"/>
              </w:rPr>
              <w:t>师讲解，学生观</w:t>
            </w:r>
          </w:p>
        </w:tc>
        <w:tc>
          <w:tcPr>
            <w:tcW w:w="1528" w:type="dxa"/>
            <w:gridSpan w:val="2"/>
            <w:shd w:val="clear" w:color="auto" w:fill="FFFFFF" w:themeFill="background1"/>
            <w:vAlign w:val="center"/>
          </w:tcPr>
          <w:p w14:paraId="0CF3BF98">
            <w:pPr>
              <w:rPr>
                <w:rFonts w:hint="default" w:eastAsia="宋体"/>
                <w:lang w:val="en-US" w:eastAsia="zh-CN"/>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计程票价制</w:t>
            </w:r>
            <w:r>
              <w:rPr>
                <w:rFonts w:hint="eastAsia" w:ascii="Times New Roman" w:hAnsi="Times New Roman" w:cs="Times New Roman"/>
                <w:bCs/>
                <w:kern w:val="2"/>
                <w:sz w:val="24"/>
                <w:szCs w:val="24"/>
                <w:lang w:val="en-US" w:eastAsia="zh-CN" w:bidi="ar-SA"/>
              </w:rPr>
              <w:t>的知识</w:t>
            </w:r>
          </w:p>
        </w:tc>
      </w:tr>
      <w:tr w14:paraId="1D3FA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403635"/>
        </w:tc>
        <w:tc>
          <w:tcPr>
            <w:tcW w:w="5479" w:type="dxa"/>
            <w:shd w:val="clear" w:color="auto" w:fill="FFFFFF" w:themeFill="background1"/>
          </w:tcPr>
          <w:p w14:paraId="73D9EC6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单一票价制与计程票价制的比较如表2-1所示。</w:t>
            </w:r>
          </w:p>
          <w:p w14:paraId="180278A2">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drawing>
                <wp:inline distT="0" distB="0" distL="114300" distR="114300">
                  <wp:extent cx="3329940" cy="1295400"/>
                  <wp:effectExtent l="0" t="0" r="3810" b="0"/>
                  <wp:docPr id="2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1"/>
                          <pic:cNvPicPr>
                            <a:picLocks noChangeAspect="1"/>
                          </pic:cNvPicPr>
                        </pic:nvPicPr>
                        <pic:blipFill>
                          <a:blip r:embed="rId5"/>
                          <a:stretch>
                            <a:fillRect/>
                          </a:stretch>
                        </pic:blipFill>
                        <pic:spPr>
                          <a:xfrm>
                            <a:off x="0" y="0"/>
                            <a:ext cx="3329940" cy="1295400"/>
                          </a:xfrm>
                          <a:prstGeom prst="rect">
                            <a:avLst/>
                          </a:prstGeom>
                          <a:noFill/>
                          <a:ln>
                            <a:noFill/>
                          </a:ln>
                        </pic:spPr>
                      </pic:pic>
                    </a:graphicData>
                  </a:graphic>
                </wp:inline>
              </w:drawing>
            </w:r>
          </w:p>
        </w:tc>
        <w:tc>
          <w:tcPr>
            <w:tcW w:w="1515" w:type="dxa"/>
            <w:shd w:val="clear" w:color="auto" w:fill="FFFFFF" w:themeFill="background1"/>
            <w:vAlign w:val="center"/>
          </w:tcPr>
          <w:p w14:paraId="640CF8B0">
            <w:pPr>
              <w:rPr>
                <w:rFonts w:hint="default"/>
                <w:lang w:val="en-US"/>
              </w:rPr>
            </w:pPr>
            <w:r>
              <w:rPr>
                <w:rFonts w:hint="eastAsia" w:ascii="Times New Roman" w:hAnsi="Times New Roman"/>
                <w:sz w:val="24"/>
                <w:szCs w:val="24"/>
              </w:rPr>
              <w:t>展示</w:t>
            </w:r>
            <w:r>
              <w:rPr>
                <w:rFonts w:hint="eastAsia" w:ascii="Times New Roman" w:hAnsi="Times New Roman" w:eastAsia="宋体" w:cs="Times New Roman"/>
                <w:bCs/>
                <w:kern w:val="2"/>
                <w:sz w:val="24"/>
                <w:szCs w:val="24"/>
                <w:lang w:val="en-US" w:eastAsia="zh-CN" w:bidi="ar-SA"/>
              </w:rPr>
              <w:t>单一票价制与计程票价制的比较</w:t>
            </w:r>
            <w:r>
              <w:rPr>
                <w:rFonts w:hint="eastAsia" w:ascii="Times New Roman" w:hAnsi="Times New Roman" w:cs="Times New Roman"/>
                <w:bCs/>
                <w:kern w:val="2"/>
                <w:sz w:val="24"/>
                <w:szCs w:val="24"/>
                <w:lang w:val="en-US" w:eastAsia="zh-CN" w:bidi="ar-SA"/>
              </w:rPr>
              <w:t>表，学生仔细学习</w:t>
            </w:r>
          </w:p>
        </w:tc>
        <w:tc>
          <w:tcPr>
            <w:tcW w:w="1528" w:type="dxa"/>
            <w:gridSpan w:val="2"/>
            <w:shd w:val="clear" w:color="auto" w:fill="FFFFFF" w:themeFill="background1"/>
            <w:vAlign w:val="center"/>
          </w:tcPr>
          <w:p w14:paraId="29AAEC80">
            <w:pPr>
              <w:rPr>
                <w:rFonts w:hint="default" w:eastAsia="宋体"/>
                <w:lang w:val="en-US" w:eastAsia="zh-CN"/>
              </w:rPr>
            </w:pPr>
            <w:r>
              <w:rPr>
                <w:rFonts w:hint="eastAsia"/>
                <w:lang w:val="en-US" w:eastAsia="zh-CN"/>
              </w:rPr>
              <w:t>加深学生对</w:t>
            </w:r>
            <w:r>
              <w:rPr>
                <w:rFonts w:hint="eastAsia" w:ascii="Times New Roman" w:hAnsi="Times New Roman" w:eastAsia="宋体" w:cs="Times New Roman"/>
                <w:bCs/>
                <w:kern w:val="2"/>
                <w:sz w:val="24"/>
                <w:szCs w:val="24"/>
                <w:lang w:val="en-US" w:eastAsia="zh-CN" w:bidi="ar-SA"/>
              </w:rPr>
              <w:t>单一票价制与计程票价制</w:t>
            </w:r>
            <w:r>
              <w:rPr>
                <w:rFonts w:hint="eastAsia" w:ascii="Times New Roman" w:hAnsi="Times New Roman" w:cs="Times New Roman"/>
                <w:bCs/>
                <w:kern w:val="2"/>
                <w:sz w:val="24"/>
                <w:szCs w:val="24"/>
                <w:lang w:val="en-US" w:eastAsia="zh-CN" w:bidi="ar-SA"/>
              </w:rPr>
              <w:t>的记忆</w:t>
            </w:r>
          </w:p>
        </w:tc>
      </w:tr>
      <w:tr w14:paraId="704BA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E1D802A"/>
        </w:tc>
        <w:tc>
          <w:tcPr>
            <w:tcW w:w="5479" w:type="dxa"/>
            <w:shd w:val="clear" w:color="auto" w:fill="FFFFFF" w:themeFill="background1"/>
          </w:tcPr>
          <w:p w14:paraId="47EF3ED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2.辅助票价制</w:t>
            </w:r>
          </w:p>
          <w:p w14:paraId="37B37C06">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（1）计时票价制。</w:t>
            </w:r>
          </w:p>
          <w:p w14:paraId="2BD11DA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根据乘客在地铁网络中逗留的时长来收费的计时票价制度，能够实现对不同时间段采取不同收费标准。</w:t>
            </w:r>
          </w:p>
          <w:p w14:paraId="577EC7B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（2）计次票价制。</w:t>
            </w:r>
          </w:p>
          <w:p w14:paraId="68B7D2E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城市轨道交通系统中，计次票价制是根据乘客通过验票口的次数来收费的。通常，这种票价制不会独立使用，而是与计时票价制相结合。通常，区间票制适用于网络结构完备的地铁系统，它考虑了城市中心区域站点间距较短、而外围区域站点间距较长的出行特点，从而为乘客提供了便利。目前，这种票制在欧洲的某些国家较为普遍，它依据旅行距离和交通方式等条件，以城市中心为核心，利用同心圆的形式来划分不同的区域</w:t>
            </w:r>
          </w:p>
        </w:tc>
        <w:tc>
          <w:tcPr>
            <w:tcW w:w="1515" w:type="dxa"/>
            <w:shd w:val="clear" w:color="auto" w:fill="FFFFFF" w:themeFill="background1"/>
            <w:vAlign w:val="center"/>
          </w:tcPr>
          <w:p w14:paraId="331CCC9C">
            <w:pPr>
              <w:rPr>
                <w:rFonts w:ascii="Times New Roman" w:hAnsi="Times New Roman"/>
                <w:sz w:val="24"/>
                <w:szCs w:val="24"/>
              </w:rPr>
            </w:pPr>
            <w:r>
              <w:rPr>
                <w:rFonts w:ascii="Times New Roman" w:hAnsi="Times New Roman"/>
                <w:sz w:val="24"/>
                <w:szCs w:val="24"/>
              </w:rPr>
              <w:t>师讲解，学生观</w:t>
            </w:r>
          </w:p>
        </w:tc>
        <w:tc>
          <w:tcPr>
            <w:tcW w:w="1528" w:type="dxa"/>
            <w:gridSpan w:val="2"/>
            <w:shd w:val="clear" w:color="auto" w:fill="FFFFFF" w:themeFill="background1"/>
            <w:vAlign w:val="center"/>
          </w:tcPr>
          <w:p w14:paraId="72E257B5">
            <w:pPr>
              <w:rPr>
                <w:rFonts w:hint="default" w:ascii="Times New Roman" w:hAnsi="Times New Roman"/>
                <w:sz w:val="24"/>
                <w:szCs w:val="24"/>
                <w:lang w:val="en-US"/>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辅助票价制</w:t>
            </w:r>
            <w:r>
              <w:rPr>
                <w:rFonts w:hint="eastAsia" w:ascii="Times New Roman" w:hAnsi="Times New Roman" w:cs="Times New Roman"/>
                <w:bCs/>
                <w:kern w:val="2"/>
                <w:sz w:val="24"/>
                <w:szCs w:val="24"/>
                <w:lang w:val="en-US" w:eastAsia="zh-CN" w:bidi="ar-SA"/>
              </w:rPr>
              <w:t>的知识</w:t>
            </w:r>
          </w:p>
        </w:tc>
      </w:tr>
      <w:tr w14:paraId="455E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8CCF22"/>
        </w:tc>
        <w:tc>
          <w:tcPr>
            <w:tcW w:w="5479" w:type="dxa"/>
            <w:shd w:val="clear" w:color="auto" w:fill="FFFFFF" w:themeFill="background1"/>
          </w:tcPr>
          <w:p w14:paraId="6B0915CC">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（三）起步距离及起步价</w:t>
            </w:r>
          </w:p>
          <w:p w14:paraId="30C56DF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在确定某城市轨道交通起步距离和起步价时，会根据各个城市的居民收入和消费水平，结合城市轨道交通定位等因素考虑确定。我国部分城市轨道交通的起步距离和起步价见表2-2。</w:t>
            </w:r>
          </w:p>
          <w:p w14:paraId="6220EC73">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drawing>
                <wp:inline distT="0" distB="0" distL="114300" distR="114300">
                  <wp:extent cx="3330575" cy="2049780"/>
                  <wp:effectExtent l="0" t="0" r="3175" b="7620"/>
                  <wp:docPr id="2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2"/>
                          <pic:cNvPicPr>
                            <a:picLocks noChangeAspect="1"/>
                          </pic:cNvPicPr>
                        </pic:nvPicPr>
                        <pic:blipFill>
                          <a:blip r:embed="rId6"/>
                          <a:stretch>
                            <a:fillRect/>
                          </a:stretch>
                        </pic:blipFill>
                        <pic:spPr>
                          <a:xfrm>
                            <a:off x="0" y="0"/>
                            <a:ext cx="3330575" cy="2049780"/>
                          </a:xfrm>
                          <a:prstGeom prst="rect">
                            <a:avLst/>
                          </a:prstGeom>
                          <a:noFill/>
                          <a:ln>
                            <a:noFill/>
                          </a:ln>
                        </pic:spPr>
                      </pic:pic>
                    </a:graphicData>
                  </a:graphic>
                </wp:inline>
              </w:drawing>
            </w:r>
          </w:p>
        </w:tc>
        <w:tc>
          <w:tcPr>
            <w:tcW w:w="1515" w:type="dxa"/>
            <w:shd w:val="clear" w:color="auto" w:fill="FFFFFF" w:themeFill="background1"/>
            <w:vAlign w:val="center"/>
          </w:tcPr>
          <w:p w14:paraId="5C4AD4CA">
            <w:pPr>
              <w:rPr>
                <w:rFonts w:hint="default" w:eastAsia="宋体"/>
                <w:lang w:val="en-US" w:eastAsia="zh-CN"/>
              </w:rPr>
            </w:pPr>
            <w:r>
              <w:rPr>
                <w:rFonts w:ascii="Times New Roman" w:hAnsi="Times New Roman"/>
                <w:sz w:val="24"/>
                <w:szCs w:val="24"/>
              </w:rPr>
              <w:t>师讲解，学生观</w:t>
            </w:r>
            <w:r>
              <w:rPr>
                <w:rFonts w:hint="eastAsia" w:ascii="Times New Roman" w:hAnsi="Times New Roman"/>
                <w:sz w:val="24"/>
                <w:szCs w:val="24"/>
                <w:lang w:eastAsia="zh-CN"/>
              </w:rPr>
              <w:t>，</w:t>
            </w:r>
            <w:r>
              <w:rPr>
                <w:rFonts w:hint="eastAsia" w:ascii="Times New Roman" w:hAnsi="Times New Roman"/>
                <w:sz w:val="24"/>
                <w:szCs w:val="24"/>
                <w:lang w:val="en-US" w:eastAsia="zh-CN"/>
              </w:rPr>
              <w:t>展示</w:t>
            </w:r>
            <w:r>
              <w:rPr>
                <w:rFonts w:hint="eastAsia" w:ascii="Times New Roman" w:hAnsi="Times New Roman" w:eastAsia="宋体" w:cs="Times New Roman"/>
                <w:bCs/>
                <w:kern w:val="2"/>
                <w:sz w:val="24"/>
                <w:szCs w:val="24"/>
                <w:lang w:val="en-US" w:eastAsia="zh-CN" w:bidi="ar-SA"/>
              </w:rPr>
              <w:t>我国部分城市轨道交通的起步距离和起步价</w:t>
            </w:r>
            <w:r>
              <w:rPr>
                <w:rFonts w:hint="eastAsia" w:ascii="Times New Roman" w:hAnsi="Times New Roman" w:cs="Times New Roman"/>
                <w:bCs/>
                <w:kern w:val="2"/>
                <w:sz w:val="24"/>
                <w:szCs w:val="24"/>
                <w:lang w:val="en-US" w:eastAsia="zh-CN" w:bidi="ar-SA"/>
              </w:rPr>
              <w:t>表</w:t>
            </w:r>
          </w:p>
        </w:tc>
        <w:tc>
          <w:tcPr>
            <w:tcW w:w="1528" w:type="dxa"/>
            <w:gridSpan w:val="2"/>
            <w:shd w:val="clear" w:color="auto" w:fill="FFFFFF" w:themeFill="background1"/>
            <w:vAlign w:val="center"/>
          </w:tcPr>
          <w:p w14:paraId="3DD23C40">
            <w:pPr>
              <w:rPr>
                <w:rFonts w:hint="default" w:eastAsia="宋体"/>
                <w:lang w:val="en-US" w:eastAsia="zh-CN"/>
              </w:rPr>
            </w:pPr>
            <w:r>
              <w:rPr>
                <w:rFonts w:hint="eastAsia" w:ascii="Times New Roman" w:hAnsi="Times New Roman"/>
                <w:sz w:val="24"/>
                <w:szCs w:val="24"/>
              </w:rPr>
              <w:t>使学生</w:t>
            </w:r>
            <w:r>
              <w:rPr>
                <w:rFonts w:hint="eastAsia" w:ascii="Times New Roman" w:hAnsi="Times New Roman"/>
                <w:sz w:val="24"/>
                <w:szCs w:val="24"/>
                <w:lang w:val="en-US" w:eastAsia="zh-CN"/>
              </w:rPr>
              <w:t>了解</w:t>
            </w:r>
            <w:r>
              <w:rPr>
                <w:rFonts w:hint="eastAsia" w:ascii="Times New Roman" w:hAnsi="Times New Roman" w:eastAsia="宋体" w:cs="Times New Roman"/>
                <w:bCs/>
                <w:kern w:val="2"/>
                <w:sz w:val="24"/>
                <w:szCs w:val="24"/>
                <w:lang w:val="en-US" w:eastAsia="zh-CN" w:bidi="ar-SA"/>
              </w:rPr>
              <w:t>我国部分城市轨道交通的起步距离和起步价</w:t>
            </w:r>
            <w:r>
              <w:rPr>
                <w:rFonts w:hint="eastAsia" w:ascii="Times New Roman" w:hAnsi="Times New Roman" w:cs="Times New Roman"/>
                <w:bCs/>
                <w:kern w:val="2"/>
                <w:sz w:val="24"/>
                <w:szCs w:val="24"/>
                <w:lang w:val="en-US" w:eastAsia="zh-CN" w:bidi="ar-SA"/>
              </w:rPr>
              <w:t>的具体情况</w:t>
            </w:r>
          </w:p>
        </w:tc>
      </w:tr>
      <w:tr w14:paraId="70FF4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38711C"/>
        </w:tc>
        <w:tc>
          <w:tcPr>
            <w:tcW w:w="5479" w:type="dxa"/>
            <w:shd w:val="clear" w:color="auto" w:fill="FFFFFF" w:themeFill="background1"/>
          </w:tcPr>
          <w:p w14:paraId="5CC07D08">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（四）票价的制定原则</w:t>
            </w:r>
          </w:p>
          <w:p w14:paraId="112A90A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1.公益性原则</w:t>
            </w:r>
          </w:p>
          <w:p w14:paraId="2687FC7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地铁是城市公共交通的重要组成部分，需要承担相应的公共产品的责任，发挥相应的公益作用，满足广大市民的出行需求。因此，地铁票价应遵循公益优先原则，充分发挥地铁在公共交通中的骨干作用。</w:t>
            </w:r>
          </w:p>
        </w:tc>
        <w:tc>
          <w:tcPr>
            <w:tcW w:w="1515" w:type="dxa"/>
            <w:shd w:val="clear" w:color="auto" w:fill="FFFFFF" w:themeFill="background1"/>
            <w:vAlign w:val="center"/>
          </w:tcPr>
          <w:p w14:paraId="0E1EC01D">
            <w:pPr>
              <w:rPr>
                <w:rFonts w:hint="default" w:eastAsia="宋体"/>
                <w:lang w:val="en-US" w:eastAsia="zh-CN"/>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FA67C67">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票价制定原则的公益性原则</w:t>
            </w:r>
          </w:p>
        </w:tc>
      </w:tr>
      <w:tr w14:paraId="6679C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EFD3C0"/>
        </w:tc>
        <w:tc>
          <w:tcPr>
            <w:tcW w:w="5479" w:type="dxa"/>
            <w:shd w:val="clear" w:color="auto" w:fill="FFFFFF" w:themeFill="background1"/>
          </w:tcPr>
          <w:p w14:paraId="4341E6D0">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2.考虑乘客承受能力原则</w:t>
            </w:r>
          </w:p>
          <w:p w14:paraId="5B173AE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地铁作为重要的城市公共交通形式，承担了大量的城市通勤出行，因此地铁票价的制定应充分考虑大众的经济承受能力，不得脱离当地实际的经济社会发展水平，导致乘客无力承担。</w:t>
            </w:r>
          </w:p>
        </w:tc>
        <w:tc>
          <w:tcPr>
            <w:tcW w:w="1515" w:type="dxa"/>
            <w:shd w:val="clear" w:color="auto" w:fill="FFFFFF" w:themeFill="background1"/>
            <w:vAlign w:val="center"/>
          </w:tcPr>
          <w:p w14:paraId="0F28657C">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4D1CD73B">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票价制定原则的考虑乘客承受能力原则</w:t>
            </w:r>
          </w:p>
        </w:tc>
      </w:tr>
      <w:tr w14:paraId="310C1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7CCC00D"/>
        </w:tc>
        <w:tc>
          <w:tcPr>
            <w:tcW w:w="5479" w:type="dxa"/>
            <w:shd w:val="clear" w:color="auto" w:fill="FFFFFF" w:themeFill="background1"/>
          </w:tcPr>
          <w:p w14:paraId="401D5AC5">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3.比价合理原则</w:t>
            </w:r>
          </w:p>
          <w:p w14:paraId="0D8C281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地铁的建设与运作成本不菲，同时它具备安全、迅速、准时和舒适等优点，所以地铁的票价理应比地面公交稍高。作为公共交通工具之一，地铁的定价应低于出租车，以彰显其较高的性价比。</w:t>
            </w:r>
          </w:p>
        </w:tc>
        <w:tc>
          <w:tcPr>
            <w:tcW w:w="1515" w:type="dxa"/>
            <w:shd w:val="clear" w:color="auto" w:fill="FFFFFF" w:themeFill="background1"/>
            <w:vAlign w:val="center"/>
          </w:tcPr>
          <w:p w14:paraId="7AFF22F6">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28ED4210">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票价制定原则的比价合理原则</w:t>
            </w:r>
          </w:p>
        </w:tc>
      </w:tr>
      <w:tr w14:paraId="1C331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8EC112"/>
        </w:tc>
        <w:tc>
          <w:tcPr>
            <w:tcW w:w="5479" w:type="dxa"/>
            <w:shd w:val="clear" w:color="auto" w:fill="FFFFFF" w:themeFill="background1"/>
          </w:tcPr>
          <w:p w14:paraId="3E59CF52">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4.可持续发展原则</w:t>
            </w:r>
          </w:p>
          <w:p w14:paraId="09DC82C2">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地铁建设的成本回收周期长，合理收益见效缓慢，因此票价的制定既要兼顾政府投资财力，又要维护乘客的利益，还需考虑企业的长远发展。</w:t>
            </w:r>
          </w:p>
        </w:tc>
        <w:tc>
          <w:tcPr>
            <w:tcW w:w="1515" w:type="dxa"/>
            <w:shd w:val="clear" w:color="auto" w:fill="FFFFFF" w:themeFill="background1"/>
            <w:vAlign w:val="center"/>
          </w:tcPr>
          <w:p w14:paraId="6B910D70">
            <w:pPr>
              <w:rPr>
                <w:rFonts w:hint="default" w:eastAsia="宋体"/>
                <w:lang w:val="en-US" w:eastAsia="zh-CN"/>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6BD6E09">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票价制定原则的可持续发展原则</w:t>
            </w:r>
          </w:p>
        </w:tc>
      </w:tr>
      <w:tr w14:paraId="766A2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C2FF9A"/>
        </w:tc>
        <w:tc>
          <w:tcPr>
            <w:tcW w:w="5479" w:type="dxa"/>
            <w:shd w:val="clear" w:color="auto" w:fill="FFFFFF" w:themeFill="background1"/>
          </w:tcPr>
          <w:p w14:paraId="20596BA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5.递远递减原则</w:t>
            </w:r>
          </w:p>
          <w:p w14:paraId="7A71EF6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城市轨道交通的票价体系通常基于距离的长短来设定，形成了一个按距离区分的差异化收费模式。随着运输距离的增加，每单位里程所分摊的运营和管理费用会相应减少，从而使运输成本降低。因此，在设定城市轨道交通的票价时，应遵循一个基本原则，即距离越远，票价应越低。</w:t>
            </w:r>
          </w:p>
        </w:tc>
        <w:tc>
          <w:tcPr>
            <w:tcW w:w="1515" w:type="dxa"/>
            <w:shd w:val="clear" w:color="auto" w:fill="FFFFFF" w:themeFill="background1"/>
            <w:vAlign w:val="center"/>
          </w:tcPr>
          <w:p w14:paraId="48A80E88">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72425956">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票价制定原则的递远递减原则</w:t>
            </w:r>
          </w:p>
        </w:tc>
      </w:tr>
      <w:tr w14:paraId="7F714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09786AE"/>
        </w:tc>
        <w:tc>
          <w:tcPr>
            <w:tcW w:w="5479" w:type="dxa"/>
            <w:shd w:val="clear" w:color="auto" w:fill="FFFFFF" w:themeFill="background1"/>
          </w:tcPr>
          <w:p w14:paraId="32F3307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（五）票价的确定流程</w:t>
            </w:r>
          </w:p>
          <w:p w14:paraId="10557B95">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目前，我国城市轨道交通票价和听证程序如下：</w:t>
            </w:r>
          </w:p>
          <w:p w14:paraId="547773F0">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①城市轨道交通的运营商必须依据自身需求和各项规定，制定票价体系，并向相关部门提交包括定价书面申请在内的必要文件。</w:t>
            </w:r>
          </w:p>
          <w:p w14:paraId="564433DC">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②依据相关法律条文，城市价格管理机构负责审核运营商提交的申请，并执行必要的听证程序。</w:t>
            </w:r>
          </w:p>
          <w:p w14:paraId="75CB7D45">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③政府在作出定价决策时，需与审查机构协商，根据特定需求调整票价，并在必要时可再次举行听证会。</w:t>
            </w:r>
          </w:p>
          <w:p w14:paraId="2900795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④最终，城市价格管理机构将公布票价，并持续监督其执行情况，同时进行持续的跟踪调查。</w:t>
            </w:r>
          </w:p>
        </w:tc>
        <w:tc>
          <w:tcPr>
            <w:tcW w:w="1515" w:type="dxa"/>
            <w:shd w:val="clear" w:color="auto" w:fill="FFFFFF" w:themeFill="background1"/>
            <w:vAlign w:val="center"/>
          </w:tcPr>
          <w:p w14:paraId="123B2452">
            <w:r>
              <w:rPr>
                <w:rFonts w:ascii="Times New Roman" w:hAnsi="Times New Roman"/>
                <w:sz w:val="24"/>
                <w:szCs w:val="24"/>
              </w:rPr>
              <w:t>师讲解，学生观</w:t>
            </w:r>
          </w:p>
        </w:tc>
        <w:tc>
          <w:tcPr>
            <w:tcW w:w="1528" w:type="dxa"/>
            <w:gridSpan w:val="2"/>
            <w:shd w:val="clear" w:color="auto" w:fill="FFFFFF" w:themeFill="background1"/>
            <w:vAlign w:val="center"/>
          </w:tcPr>
          <w:p w14:paraId="01ED15FD">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票价的确定流程</w:t>
            </w:r>
          </w:p>
        </w:tc>
      </w:tr>
      <w:tr w14:paraId="1E1AA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7C65E61"/>
        </w:tc>
        <w:tc>
          <w:tcPr>
            <w:tcW w:w="5479" w:type="dxa"/>
            <w:shd w:val="clear" w:color="auto" w:fill="FFFFFF" w:themeFill="background1"/>
          </w:tcPr>
          <w:p w14:paraId="6D5A45D2">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城市轨道交通票价制定流程如图2-14。</w:t>
            </w:r>
          </w:p>
          <w:p w14:paraId="3C9CBE63">
            <w:pPr>
              <w:spacing w:line="360" w:lineRule="auto"/>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drawing>
                <wp:inline distT="0" distB="0" distL="114300" distR="114300">
                  <wp:extent cx="3336290" cy="3078480"/>
                  <wp:effectExtent l="0" t="0" r="16510" b="7620"/>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pic:cNvPicPr>
                        </pic:nvPicPr>
                        <pic:blipFill>
                          <a:blip r:embed="rId7"/>
                          <a:stretch>
                            <a:fillRect/>
                          </a:stretch>
                        </pic:blipFill>
                        <pic:spPr>
                          <a:xfrm>
                            <a:off x="0" y="0"/>
                            <a:ext cx="3336290" cy="3078480"/>
                          </a:xfrm>
                          <a:prstGeom prst="rect">
                            <a:avLst/>
                          </a:prstGeom>
                          <a:noFill/>
                          <a:ln>
                            <a:noFill/>
                          </a:ln>
                        </pic:spPr>
                      </pic:pic>
                    </a:graphicData>
                  </a:graphic>
                </wp:inline>
              </w:drawing>
            </w:r>
          </w:p>
        </w:tc>
        <w:tc>
          <w:tcPr>
            <w:tcW w:w="1515" w:type="dxa"/>
            <w:shd w:val="clear" w:color="auto" w:fill="FFFFFF" w:themeFill="background1"/>
            <w:vAlign w:val="center"/>
          </w:tcPr>
          <w:p w14:paraId="23153FCB">
            <w:pPr>
              <w:rPr>
                <w:rFonts w:hint="default" w:eastAsia="宋体"/>
                <w:lang w:val="en-US" w:eastAsia="zh-CN"/>
              </w:rPr>
            </w:pPr>
            <w:r>
              <w:rPr>
                <w:rFonts w:hint="eastAsia" w:ascii="Times New Roman" w:hAnsi="Times New Roman"/>
                <w:sz w:val="24"/>
                <w:szCs w:val="24"/>
              </w:rPr>
              <w:t>展示</w:t>
            </w:r>
            <w:r>
              <w:rPr>
                <w:rFonts w:hint="eastAsia" w:ascii="Times New Roman" w:hAnsi="Times New Roman" w:eastAsia="宋体" w:cs="Times New Roman"/>
                <w:bCs/>
                <w:kern w:val="2"/>
                <w:sz w:val="24"/>
                <w:szCs w:val="24"/>
                <w:lang w:val="en-US" w:eastAsia="zh-CN" w:bidi="ar-SA"/>
              </w:rPr>
              <w:t>城市轨道交通票价制定流程</w:t>
            </w:r>
            <w:r>
              <w:rPr>
                <w:rFonts w:hint="eastAsia" w:ascii="Times New Roman" w:hAnsi="Times New Roman" w:cs="Times New Roman"/>
                <w:bCs/>
                <w:kern w:val="2"/>
                <w:sz w:val="24"/>
                <w:szCs w:val="24"/>
                <w:lang w:val="en-US" w:eastAsia="zh-CN" w:bidi="ar-SA"/>
              </w:rPr>
              <w:t>图，</w:t>
            </w:r>
            <w:r>
              <w:rPr>
                <w:rFonts w:ascii="Times New Roman" w:hAnsi="Times New Roman"/>
                <w:sz w:val="24"/>
                <w:szCs w:val="24"/>
              </w:rPr>
              <w:t>学生</w:t>
            </w:r>
            <w:r>
              <w:rPr>
                <w:rFonts w:hint="eastAsia" w:ascii="Times New Roman" w:hAnsi="Times New Roman"/>
                <w:sz w:val="24"/>
                <w:szCs w:val="24"/>
                <w:lang w:val="en-US" w:eastAsia="zh-CN"/>
              </w:rPr>
              <w:t>仔细记忆</w:t>
            </w:r>
          </w:p>
        </w:tc>
        <w:tc>
          <w:tcPr>
            <w:tcW w:w="1528" w:type="dxa"/>
            <w:gridSpan w:val="2"/>
            <w:shd w:val="clear" w:color="auto" w:fill="FFFFFF" w:themeFill="background1"/>
            <w:vAlign w:val="center"/>
          </w:tcPr>
          <w:p w14:paraId="013D0CA4">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城市轨道交通票价制定流程</w:t>
            </w:r>
          </w:p>
        </w:tc>
      </w:tr>
      <w:tr w14:paraId="16389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F21DF6D"/>
        </w:tc>
        <w:tc>
          <w:tcPr>
            <w:tcW w:w="5479" w:type="dxa"/>
            <w:shd w:val="clear" w:color="auto" w:fill="FFFFFF" w:themeFill="background1"/>
          </w:tcPr>
          <w:p w14:paraId="12AB415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六、票务通用政策</w:t>
            </w:r>
          </w:p>
          <w:p w14:paraId="2B99ADF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城市轨道交通运营企业对车票有效期、乘车时限、乘车限制、超程等方面的规定不完全一致，但也有其通用性。</w:t>
            </w:r>
          </w:p>
          <w:p w14:paraId="1C03F300">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乘客需持有效车票方能通过闸机进入付费区，并应使用同一张车票完成进出闸操作，确保一人一票制，禁止多人共用一张车票。若乘客需要报销凭证，可向车站客服中心出示所购的付费车票以获取。</w:t>
            </w:r>
          </w:p>
        </w:tc>
        <w:tc>
          <w:tcPr>
            <w:tcW w:w="1515" w:type="dxa"/>
            <w:shd w:val="clear" w:color="auto" w:fill="FFFFFF" w:themeFill="background1"/>
            <w:vAlign w:val="center"/>
          </w:tcPr>
          <w:p w14:paraId="096439C3">
            <w:pPr>
              <w:rPr>
                <w:rFonts w:hint="default" w:eastAsia="宋体"/>
                <w:lang w:val="en-US" w:eastAsia="zh-CN"/>
              </w:rPr>
            </w:pPr>
            <w:r>
              <w:rPr>
                <w:rFonts w:ascii="Times New Roman" w:hAnsi="Times New Roman"/>
                <w:sz w:val="24"/>
                <w:szCs w:val="24"/>
              </w:rPr>
              <w:t>师讲解，学生观</w:t>
            </w:r>
          </w:p>
        </w:tc>
        <w:tc>
          <w:tcPr>
            <w:tcW w:w="1528" w:type="dxa"/>
            <w:gridSpan w:val="2"/>
            <w:shd w:val="clear" w:color="auto" w:fill="FFFFFF" w:themeFill="background1"/>
            <w:vAlign w:val="center"/>
          </w:tcPr>
          <w:p w14:paraId="507A1AB7">
            <w:pPr>
              <w:rPr>
                <w:rFonts w:hint="default" w:ascii="Times New Roman" w:hAnsi="Times New Roman"/>
                <w:sz w:val="24"/>
                <w:szCs w:val="24"/>
                <w:lang w:val="en-US" w:eastAsia="zh-CN"/>
              </w:rPr>
            </w:pPr>
            <w:r>
              <w:rPr>
                <w:rFonts w:hint="eastAsia" w:ascii="Times New Roman" w:hAnsi="Times New Roman"/>
                <w:sz w:val="24"/>
                <w:szCs w:val="24"/>
                <w:lang w:val="en-US" w:eastAsia="zh-CN"/>
              </w:rPr>
              <w:t>让学生对票务通用政策有初步的了解</w:t>
            </w:r>
          </w:p>
        </w:tc>
      </w:tr>
      <w:tr w14:paraId="2AD29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DD0DA4A"/>
        </w:tc>
        <w:tc>
          <w:tcPr>
            <w:tcW w:w="5479" w:type="dxa"/>
            <w:shd w:val="clear" w:color="auto" w:fill="FFFFFF" w:themeFill="background1"/>
          </w:tcPr>
          <w:p w14:paraId="7E2D25C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1.车票有效期的规定</w:t>
            </w:r>
          </w:p>
          <w:p w14:paraId="3DB4FA8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①普通单程票、团体票、纸票发售通常限当站、当日使用，过期视为无效票回收。</w:t>
            </w:r>
          </w:p>
          <w:p w14:paraId="29DE7CCA">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②储值票、许可票等有效期通常为若干年，到期后须按规定办理延期后方能继续使用。</w:t>
            </w:r>
          </w:p>
          <w:p w14:paraId="09B3920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③日票有效期以发行公布的有效期为准，车票到期后不可延期。</w:t>
            </w:r>
          </w:p>
          <w:p w14:paraId="0D3581E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④赠票须在有效期内使用，逾期作废，且不办理退票。</w:t>
            </w:r>
          </w:p>
        </w:tc>
        <w:tc>
          <w:tcPr>
            <w:tcW w:w="1515" w:type="dxa"/>
            <w:shd w:val="clear" w:color="auto" w:fill="FFFFFF" w:themeFill="background1"/>
            <w:vAlign w:val="center"/>
          </w:tcPr>
          <w:p w14:paraId="18521081">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56538A0">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票务通用政策的车票有效期的规定</w:t>
            </w:r>
          </w:p>
        </w:tc>
      </w:tr>
      <w:tr w14:paraId="58021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FEB1F8B"/>
        </w:tc>
        <w:tc>
          <w:tcPr>
            <w:tcW w:w="5479" w:type="dxa"/>
            <w:shd w:val="clear" w:color="auto" w:fill="FFFFFF" w:themeFill="background1"/>
          </w:tcPr>
          <w:p w14:paraId="041EFA15">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2.限时乘车的规定</w:t>
            </w:r>
          </w:p>
          <w:p w14:paraId="1D0C52D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为避免乘客在列车或站内付费区长时间逗留，造成拥堵或安全隐患，城市轨道交通运营企业通常会对乘客购票入闸至检票出闸的时间进行限制。当乘客在付费区逗留的时间超过城市轨道交通运营企业规定的乘车时限，称为滞留超时，简称超时。对滞留超时的乘客，企业会收取一定金额的超时车费。</w:t>
            </w:r>
          </w:p>
          <w:p w14:paraId="1B8FD3B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各城市轨道交通运营企业会根据当前线网允许的最远乘车里程、列车的速度及乘客候车、换乘所需要的合理时间确定乘车时限。例如，重庆轨道交通的规定乘客每次乘车入闸到出闸，时限为270分钟。超时需按线网最高票价另交全额超时车费（轨道交通原因导致的除外）。</w:t>
            </w:r>
          </w:p>
        </w:tc>
        <w:tc>
          <w:tcPr>
            <w:tcW w:w="1515" w:type="dxa"/>
            <w:shd w:val="clear" w:color="auto" w:fill="FFFFFF" w:themeFill="background1"/>
            <w:vAlign w:val="center"/>
          </w:tcPr>
          <w:p w14:paraId="3E2E66CE">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7C97940">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票务通用政策的限时乘车的规定</w:t>
            </w:r>
          </w:p>
        </w:tc>
      </w:tr>
      <w:tr w14:paraId="36DB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B50058E"/>
        </w:tc>
        <w:tc>
          <w:tcPr>
            <w:tcW w:w="5479" w:type="dxa"/>
            <w:shd w:val="clear" w:color="auto" w:fill="FFFFFF" w:themeFill="background1"/>
          </w:tcPr>
          <w:p w14:paraId="4F2F4D98">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3.超程的规定</w:t>
            </w:r>
          </w:p>
          <w:p w14:paraId="22BA193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当乘客所使用的车票不足以支付所到达车站的实际费用时，视为该车票超程。城市轨道交通运营企业通常规定乘客须补足实际车程费用后，对车票做更新处理，方能持票出站。</w:t>
            </w:r>
          </w:p>
        </w:tc>
        <w:tc>
          <w:tcPr>
            <w:tcW w:w="1515" w:type="dxa"/>
            <w:shd w:val="clear" w:color="auto" w:fill="FFFFFF" w:themeFill="background1"/>
            <w:vAlign w:val="center"/>
          </w:tcPr>
          <w:p w14:paraId="3FE48030">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172E5998">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票务通用政策的超程的规定</w:t>
            </w:r>
          </w:p>
        </w:tc>
      </w:tr>
      <w:tr w14:paraId="55E22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EFE9C92"/>
        </w:tc>
        <w:tc>
          <w:tcPr>
            <w:tcW w:w="5479" w:type="dxa"/>
            <w:shd w:val="clear" w:color="auto" w:fill="FFFFFF" w:themeFill="background1"/>
          </w:tcPr>
          <w:p w14:paraId="752B3986">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4.既超时又超程的规定</w:t>
            </w:r>
          </w:p>
          <w:p w14:paraId="3D5616D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当乘客既超时又超程时，各城市轨道交通运营企业的处理规定也有区别。例如，重庆轨道交通按线网最高票价另交全额车费，武汉地铁按两者中较高费用收取。</w:t>
            </w:r>
          </w:p>
        </w:tc>
        <w:tc>
          <w:tcPr>
            <w:tcW w:w="1515" w:type="dxa"/>
            <w:shd w:val="clear" w:color="auto" w:fill="FFFFFF" w:themeFill="background1"/>
            <w:vAlign w:val="center"/>
          </w:tcPr>
          <w:p w14:paraId="70FCDDAD">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5D835991">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票务通用政策的既超时又超程的规定</w:t>
            </w:r>
          </w:p>
        </w:tc>
      </w:tr>
      <w:tr w14:paraId="7AA7F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D35C8D6"/>
        </w:tc>
        <w:tc>
          <w:tcPr>
            <w:tcW w:w="5479" w:type="dxa"/>
            <w:shd w:val="clear" w:color="auto" w:fill="FFFFFF" w:themeFill="background1"/>
          </w:tcPr>
          <w:p w14:paraId="0446B90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5.优惠乘车的规定</w:t>
            </w:r>
          </w:p>
          <w:p w14:paraId="776F89FD">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①指定人群：军人、残疾军人、老年人（各城市对于老年人的优惠不同）、学生、儿童（一般身高不高于1.3米）</w:t>
            </w:r>
          </w:p>
          <w:p w14:paraId="7AC85C6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②普通“一卡通”：部分城市使用普通“一卡通”可享受一定折扣。例如，武汉地铁、重庆地铁目前是9折优惠，广州地铁是9.5折优惠，西安地铁是7折优惠。</w:t>
            </w:r>
          </w:p>
        </w:tc>
        <w:tc>
          <w:tcPr>
            <w:tcW w:w="1515" w:type="dxa"/>
            <w:shd w:val="clear" w:color="auto" w:fill="FFFFFF" w:themeFill="background1"/>
            <w:vAlign w:val="center"/>
          </w:tcPr>
          <w:p w14:paraId="2DB3CC52">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4FE3B326">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票务通用政策的优惠乘车的规定</w:t>
            </w:r>
          </w:p>
        </w:tc>
      </w:tr>
      <w:tr w14:paraId="0733F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82A9407"/>
        </w:tc>
        <w:tc>
          <w:tcPr>
            <w:tcW w:w="5479" w:type="dxa"/>
            <w:shd w:val="clear" w:color="auto" w:fill="FFFFFF" w:themeFill="background1"/>
          </w:tcPr>
          <w:p w14:paraId="13DF7B8B">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6.车票数据更新的规定</w:t>
            </w:r>
          </w:p>
          <w:p w14:paraId="14A56B0D">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（1）进站次序错误（乘客在非付费区）。</w:t>
            </w:r>
          </w:p>
          <w:p w14:paraId="0306482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当乘客所持车票在车站进闸机刷卡后未及时进闸：20分钟以内则免费对乘客车票进行数据更新，20分钟以上则须交付费用。例如，重庆地铁规定车票已有进闸记录而乘客未进闸的，可在20分钟内在发售站免费办理消除记录手续；从有进闸记录之时起超过20分钟乘客未进闸的，单程票作废由车站予以回收，乘客需重新购票；畅通卡车票按所使用车票种类的最低单程票价支付车费。</w:t>
            </w:r>
          </w:p>
          <w:p w14:paraId="53F6A7D6">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（2）出站次序错误（乘客在付费区）。</w:t>
            </w:r>
          </w:p>
          <w:p w14:paraId="0B587EB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若乘客持票未刷卡通过闸机进入付费区，出闸时将显示错误的出站次序。对此，车站将根据乘客提供的进站信息，免费更新车票数据。</w:t>
            </w:r>
          </w:p>
          <w:p w14:paraId="60CA2E98">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（3）过期车票的数据更新。</w:t>
            </w:r>
          </w:p>
          <w:p w14:paraId="5EA0851D">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地铁过期的储值票和免费票需要在车站的客服中心或票亭进行免费的数据刷新，更新免费票时需提供持卡人的有效身份证明。</w:t>
            </w:r>
          </w:p>
        </w:tc>
        <w:tc>
          <w:tcPr>
            <w:tcW w:w="1515" w:type="dxa"/>
            <w:shd w:val="clear" w:color="auto" w:fill="FFFFFF" w:themeFill="background1"/>
            <w:vAlign w:val="center"/>
          </w:tcPr>
          <w:p w14:paraId="49A1B8B5">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59DC026B">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票务通用政策的车票数据更新的规定</w:t>
            </w:r>
          </w:p>
        </w:tc>
      </w:tr>
      <w:tr w14:paraId="7A1D2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28CF8CF"/>
        </w:tc>
        <w:tc>
          <w:tcPr>
            <w:tcW w:w="5479" w:type="dxa"/>
            <w:shd w:val="clear" w:color="auto" w:fill="FFFFFF" w:themeFill="background1"/>
          </w:tcPr>
          <w:p w14:paraId="065E0B7C">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7.无票乘车的规定</w:t>
            </w:r>
          </w:p>
          <w:p w14:paraId="1C2D26A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乘客在付费区内遗失车票、无票或持无效票，通常须按线网（或本站）最高单程票价补交车费后出闸。例如，根据重庆地铁的规定，一旦乘客通过进站闸机后，若丢失车票、故意破坏车票、使用过期、伪造、篡改过的车票，或者采取其他欺诈方式乘坐地铁，将被视为无票或持有无效车票，需按照网络中最高票价支付全部车费。</w:t>
            </w:r>
          </w:p>
        </w:tc>
        <w:tc>
          <w:tcPr>
            <w:tcW w:w="1515" w:type="dxa"/>
            <w:shd w:val="clear" w:color="auto" w:fill="FFFFFF" w:themeFill="background1"/>
            <w:vAlign w:val="center"/>
          </w:tcPr>
          <w:p w14:paraId="0ABEEFFF">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627735E">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票务通用政策的无票乘车的规定</w:t>
            </w:r>
          </w:p>
        </w:tc>
      </w:tr>
      <w:tr w14:paraId="36F22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1457CC5"/>
        </w:tc>
        <w:tc>
          <w:tcPr>
            <w:tcW w:w="5479" w:type="dxa"/>
            <w:shd w:val="clear" w:color="auto" w:fill="FFFFFF" w:themeFill="background1"/>
          </w:tcPr>
          <w:p w14:paraId="6BECB314">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8.乘客携带品的规定</w:t>
            </w:r>
          </w:p>
          <w:p w14:paraId="12DAB6AD">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各城市轨道交通运营企业对乘客的携带品范围都有各自的规定，大部分城市轨道交通企业对乘客免费携带的物品重量和体积都有明确要求，超过规定的物品须加购行李票一张；若乘客所携带的物品重量过重、体积过大，则不得进站乘车；若被携带进站乘车的物品会对城市轨道交通安全、设备或其他乘客产生不良影响的，也不得携带进站乘车。如重庆地铁规定，每位乘客携带的物品重量不得超过20千克，长、宽、高之和不得超过2米。超过上述规定的，不得携带进闸、乘车。</w:t>
            </w:r>
          </w:p>
        </w:tc>
        <w:tc>
          <w:tcPr>
            <w:tcW w:w="1515" w:type="dxa"/>
            <w:shd w:val="clear" w:color="auto" w:fill="FFFFFF" w:themeFill="background1"/>
            <w:vAlign w:val="center"/>
          </w:tcPr>
          <w:p w14:paraId="227151CB">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7E1424A7">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票务通用政策的乘客携带品的规定</w:t>
            </w:r>
          </w:p>
        </w:tc>
      </w:tr>
      <w:tr w14:paraId="554BB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4982DF"/>
        </w:tc>
        <w:tc>
          <w:tcPr>
            <w:tcW w:w="5479" w:type="dxa"/>
            <w:shd w:val="clear" w:color="auto" w:fill="FFFFFF" w:themeFill="background1"/>
          </w:tcPr>
          <w:p w14:paraId="1BA9045F">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9.车票回收规定</w:t>
            </w:r>
          </w:p>
          <w:p w14:paraId="555AF28E">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①单程票在出站时由出站闸机回收，地铁储值票、地铁免费票、纪念票等不回收。</w:t>
            </w:r>
          </w:p>
          <w:p w14:paraId="6E39F5B6">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②过期单程票、无效票等须由客服中心工作人员回收，地铁普通储值票单程票的所有权属于城市轨道交通运营企业。</w:t>
            </w:r>
          </w:p>
        </w:tc>
        <w:tc>
          <w:tcPr>
            <w:tcW w:w="1515" w:type="dxa"/>
            <w:shd w:val="clear" w:color="auto" w:fill="FFFFFF" w:themeFill="background1"/>
            <w:vAlign w:val="center"/>
          </w:tcPr>
          <w:p w14:paraId="07408D05">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659F76BC">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票务通用政策的车票回收规定</w:t>
            </w:r>
          </w:p>
        </w:tc>
      </w:tr>
      <w:tr w14:paraId="356A8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4BBBB8B"/>
        </w:tc>
        <w:tc>
          <w:tcPr>
            <w:tcW w:w="5479" w:type="dxa"/>
            <w:shd w:val="clear" w:color="auto" w:fill="FFFFFF" w:themeFill="background1"/>
          </w:tcPr>
          <w:p w14:paraId="457A5692">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10.退票规定</w:t>
            </w:r>
          </w:p>
          <w:p w14:paraId="7CF6A3D6">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①地铁纪念票、定次票、计期票：一经售出不退票。</w:t>
            </w:r>
          </w:p>
          <w:p w14:paraId="12921429">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②单程票的退票规定大致有两种：有些城市轨道交通运营企业规定单程票一经售出，概不退票；大部分城市轨道交通运营企业规定符合一定条件可以退票。</w:t>
            </w:r>
          </w:p>
          <w:p w14:paraId="2972FAE3">
            <w:pPr>
              <w:spacing w:line="360" w:lineRule="auto"/>
              <w:ind w:firstLine="480" w:firstLineChars="200"/>
              <w:rPr>
                <w:rFonts w:hint="eastAsia" w:ascii="Times New Roman" w:hAnsi="Times New Roman" w:eastAsia="宋体" w:cs="Times New Roman"/>
                <w:bCs/>
                <w:kern w:val="2"/>
                <w:sz w:val="24"/>
                <w:szCs w:val="24"/>
                <w:lang w:val="en-US" w:eastAsia="zh-CN" w:bidi="ar-SA"/>
              </w:rPr>
            </w:pPr>
            <w:r>
              <w:rPr>
                <w:rFonts w:hint="eastAsia" w:ascii="Times New Roman" w:hAnsi="Times New Roman" w:eastAsia="宋体" w:cs="Times New Roman"/>
                <w:bCs/>
                <w:kern w:val="2"/>
                <w:sz w:val="24"/>
                <w:szCs w:val="24"/>
                <w:lang w:val="en-US" w:eastAsia="zh-CN" w:bidi="ar-SA"/>
              </w:rPr>
              <w:t>③地铁普通储值票、免费票的退票规定：未损坏的票卡，全额或收取一定折旧费后押金退还乘客；已损坏的票卡押金不予退还。</w:t>
            </w:r>
          </w:p>
        </w:tc>
        <w:tc>
          <w:tcPr>
            <w:tcW w:w="1515" w:type="dxa"/>
            <w:shd w:val="clear" w:color="auto" w:fill="FFFFFF" w:themeFill="background1"/>
            <w:vAlign w:val="center"/>
          </w:tcPr>
          <w:p w14:paraId="3864AF99">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lang w:val="en-US" w:eastAsia="zh-CN"/>
              </w:rPr>
              <w:t>邀请学生阅读</w:t>
            </w:r>
          </w:p>
        </w:tc>
        <w:tc>
          <w:tcPr>
            <w:tcW w:w="1528" w:type="dxa"/>
            <w:gridSpan w:val="2"/>
            <w:shd w:val="clear" w:color="auto" w:fill="FFFFFF" w:themeFill="background1"/>
            <w:vAlign w:val="center"/>
          </w:tcPr>
          <w:p w14:paraId="3A00BEAF">
            <w:pPr>
              <w:rPr>
                <w:rFonts w:hint="eastAsia" w:ascii="Calibri" w:hAnsi="Calibri" w:eastAsia="宋体" w:cs="Times New Roman"/>
                <w:kern w:val="2"/>
                <w:sz w:val="21"/>
                <w:szCs w:val="22"/>
                <w:lang w:val="en-US" w:eastAsia="zh-CN" w:bidi="ar-SA"/>
              </w:rPr>
            </w:pPr>
            <w:r>
              <w:rPr>
                <w:rFonts w:hint="eastAsia" w:ascii="Times New Roman" w:hAnsi="Times New Roman"/>
                <w:sz w:val="24"/>
                <w:szCs w:val="24"/>
              </w:rPr>
              <w:t>使学生充分了解</w:t>
            </w:r>
            <w:r>
              <w:rPr>
                <w:rFonts w:hint="eastAsia" w:ascii="Times New Roman" w:hAnsi="Times New Roman" w:eastAsia="宋体" w:cs="Times New Roman"/>
                <w:bCs/>
                <w:kern w:val="2"/>
                <w:sz w:val="24"/>
                <w:szCs w:val="24"/>
                <w:lang w:val="en-US" w:eastAsia="zh-CN" w:bidi="ar-SA"/>
              </w:rPr>
              <w:t>票务通用政策的退票规定</w:t>
            </w:r>
          </w:p>
        </w:tc>
      </w:tr>
      <w:tr w14:paraId="4C521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56F3C0C8">
            <w:r>
              <w:rPr>
                <w:rFonts w:ascii="宋体" w:cs="宋体"/>
                <w:b/>
                <w:sz w:val="28"/>
              </w:rPr>
              <w:t>作业布置</w:t>
            </w:r>
          </w:p>
        </w:tc>
        <w:tc>
          <w:tcPr>
            <w:tcW w:w="8522" w:type="dxa"/>
            <w:gridSpan w:val="4"/>
            <w:shd w:val="clear" w:color="000000" w:fill="FFFFFF"/>
            <w:vAlign w:val="center"/>
          </w:tcPr>
          <w:p w14:paraId="6037A7D9">
            <w:pPr>
              <w:spacing w:line="379" w:lineRule="auto"/>
              <w:ind w:right="480"/>
              <w:rPr>
                <w:rFonts w:ascii="宋体" w:cs="宋体"/>
                <w:sz w:val="24"/>
                <w:szCs w:val="24"/>
              </w:rPr>
            </w:pPr>
            <w:r>
              <w:rPr>
                <w:rFonts w:hint="eastAsia" w:ascii="宋体" w:cs="宋体"/>
                <w:sz w:val="24"/>
                <w:szCs w:val="24"/>
              </w:rPr>
              <w:t>请同学们完成思考与练习。</w:t>
            </w:r>
          </w:p>
          <w:p w14:paraId="522F1EF3">
            <w:pPr>
              <w:spacing w:line="379" w:lineRule="auto"/>
              <w:ind w:right="480"/>
              <w:rPr>
                <w:rFonts w:ascii="宋体" w:cs="宋体"/>
                <w:sz w:val="24"/>
                <w:szCs w:val="24"/>
              </w:rPr>
            </w:pPr>
            <w:r>
              <w:rPr>
                <w:rFonts w:ascii="宋体" w:cs="宋体"/>
                <w:sz w:val="24"/>
                <w:szCs w:val="24"/>
              </w:rPr>
              <w:t>（一）判断题</w:t>
            </w:r>
          </w:p>
          <w:p w14:paraId="1700039B">
            <w:pPr>
              <w:spacing w:line="379" w:lineRule="auto"/>
              <w:ind w:right="480"/>
              <w:rPr>
                <w:rFonts w:hint="eastAsia" w:ascii="宋体" w:hAnsi="宋体" w:cs="宋体"/>
                <w:sz w:val="24"/>
                <w:szCs w:val="24"/>
                <w:lang w:val="en-US" w:eastAsia="zh-CN"/>
              </w:rPr>
            </w:pPr>
            <w:r>
              <w:rPr>
                <w:rFonts w:hint="eastAsia" w:ascii="宋体" w:hAnsi="宋体" w:cs="宋体"/>
                <w:sz w:val="24"/>
                <w:szCs w:val="24"/>
                <w:lang w:val="en-US" w:eastAsia="zh-CN"/>
              </w:rPr>
              <w:t>1.E/S属于AFC的清分中心计算机系统这一层级。</w:t>
            </w:r>
          </w:p>
          <w:p w14:paraId="5D5615C2">
            <w:pPr>
              <w:spacing w:line="379" w:lineRule="auto"/>
              <w:ind w:right="480"/>
              <w:rPr>
                <w:rFonts w:hint="eastAsia" w:ascii="宋体" w:hAnsi="宋体" w:cs="宋体"/>
                <w:sz w:val="24"/>
                <w:szCs w:val="24"/>
                <w:lang w:val="en-US" w:eastAsia="zh-CN"/>
              </w:rPr>
            </w:pPr>
            <w:r>
              <w:rPr>
                <w:rFonts w:hint="eastAsia" w:ascii="宋体" w:hAnsi="宋体" w:cs="宋体"/>
                <w:sz w:val="24"/>
                <w:szCs w:val="24"/>
                <w:lang w:val="en-US" w:eastAsia="zh-CN"/>
              </w:rPr>
              <w:t>2.轨道交通一卡通优惠票一般包括一卡通老人卡、一卡通学生卡、一卡通残疾卡，一卡通其他卡种等，不同的一卡通优惠票享受不同的优惠政策。</w:t>
            </w:r>
          </w:p>
          <w:p w14:paraId="0EF18C39">
            <w:pPr>
              <w:spacing w:line="379" w:lineRule="auto"/>
              <w:ind w:right="480"/>
              <w:rPr>
                <w:rFonts w:hint="eastAsia" w:ascii="宋体" w:hAnsi="宋体" w:cs="宋体"/>
                <w:sz w:val="24"/>
                <w:szCs w:val="24"/>
                <w:lang w:val="en-US" w:eastAsia="zh-CN"/>
              </w:rPr>
            </w:pPr>
            <w:r>
              <w:rPr>
                <w:rFonts w:hint="eastAsia" w:ascii="宋体" w:hAnsi="宋体" w:cs="宋体"/>
                <w:sz w:val="24"/>
                <w:szCs w:val="24"/>
                <w:lang w:val="en-US" w:eastAsia="zh-CN"/>
              </w:rPr>
              <w:t>3.轨道交通的车票价格由轨道交通企业独立决定。</w:t>
            </w:r>
          </w:p>
          <w:p w14:paraId="1C18D917">
            <w:pPr>
              <w:spacing w:line="379" w:lineRule="auto"/>
              <w:ind w:right="480"/>
              <w:rPr>
                <w:rFonts w:hint="eastAsia" w:ascii="宋体" w:hAnsi="宋体" w:cs="宋体"/>
                <w:sz w:val="24"/>
                <w:szCs w:val="24"/>
                <w:lang w:val="en-US" w:eastAsia="zh-CN"/>
              </w:rPr>
            </w:pPr>
            <w:r>
              <w:rPr>
                <w:rFonts w:hint="eastAsia" w:ascii="宋体" w:hAnsi="宋体" w:cs="宋体"/>
                <w:sz w:val="24"/>
                <w:szCs w:val="24"/>
                <w:lang w:val="en-US" w:eastAsia="zh-CN"/>
              </w:rPr>
              <w:t>4.1名成年人可带2名身高不超过指定数值（如1.2米）的儿童进站乘车。</w:t>
            </w:r>
          </w:p>
          <w:p w14:paraId="0EBF80AE">
            <w:pPr>
              <w:spacing w:line="379" w:lineRule="auto"/>
              <w:ind w:right="480"/>
              <w:rPr>
                <w:rFonts w:hint="eastAsia" w:ascii="宋体" w:hAnsi="宋体" w:cs="宋体"/>
                <w:sz w:val="24"/>
                <w:szCs w:val="24"/>
                <w:lang w:val="en-US" w:eastAsia="zh-CN"/>
              </w:rPr>
            </w:pPr>
            <w:r>
              <w:rPr>
                <w:rFonts w:hint="eastAsia" w:ascii="宋体" w:hAnsi="宋体" w:cs="宋体"/>
                <w:sz w:val="24"/>
                <w:szCs w:val="24"/>
                <w:lang w:val="en-US" w:eastAsia="zh-CN"/>
              </w:rPr>
              <w:t>5.一般来说，已经进站的单程票可以办理退票。</w:t>
            </w:r>
          </w:p>
          <w:p w14:paraId="111C1D49">
            <w:pPr>
              <w:spacing w:line="379" w:lineRule="auto"/>
              <w:ind w:right="480"/>
              <w:rPr>
                <w:rFonts w:hint="eastAsia" w:ascii="宋体" w:hAnsi="宋体" w:cs="宋体"/>
                <w:sz w:val="24"/>
                <w:szCs w:val="24"/>
              </w:rPr>
            </w:pPr>
            <w:r>
              <w:rPr>
                <w:rFonts w:hint="eastAsia" w:ascii="宋体" w:hAnsi="宋体" w:cs="宋体"/>
                <w:sz w:val="24"/>
                <w:szCs w:val="24"/>
              </w:rPr>
              <w:t>（二）简答题</w:t>
            </w:r>
          </w:p>
          <w:p w14:paraId="79128AF3">
            <w:pPr>
              <w:spacing w:line="379" w:lineRule="auto"/>
              <w:ind w:right="480"/>
              <w:rPr>
                <w:rFonts w:ascii="宋体" w:cs="宋体"/>
                <w:sz w:val="24"/>
                <w:szCs w:val="24"/>
                <w:lang w:val="en-US" w:eastAsia="zh-CN"/>
              </w:rPr>
            </w:pPr>
            <w:r>
              <w:rPr>
                <w:rFonts w:ascii="宋体" w:cs="宋体"/>
                <w:sz w:val="24"/>
                <w:szCs w:val="24"/>
                <w:lang w:val="en-US" w:eastAsia="zh-CN"/>
              </w:rPr>
              <w:t>1.对比单一票制和计程票制的优缺点。</w:t>
            </w:r>
          </w:p>
          <w:p w14:paraId="474C11C2">
            <w:pPr>
              <w:spacing w:line="379" w:lineRule="auto"/>
              <w:ind w:right="480"/>
              <w:rPr>
                <w:rFonts w:ascii="宋体" w:cs="宋体"/>
                <w:sz w:val="24"/>
                <w:szCs w:val="24"/>
              </w:rPr>
            </w:pPr>
            <w:r>
              <w:rPr>
                <w:rFonts w:hint="default" w:ascii="宋体" w:cs="宋体"/>
                <w:sz w:val="24"/>
                <w:szCs w:val="24"/>
                <w:lang w:val="en-US" w:eastAsia="zh-CN"/>
              </w:rPr>
              <w:t>2.简述票价确定的流程。</w:t>
            </w:r>
          </w:p>
        </w:tc>
      </w:tr>
      <w:tr w14:paraId="4282D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60F859FD">
            <w:pPr>
              <w:rPr>
                <w:rFonts w:hint="eastAsia" w:ascii="宋体" w:eastAsia="宋体" w:cs="宋体"/>
                <w:b/>
                <w:sz w:val="28"/>
                <w:lang w:val="en-US" w:eastAsia="zh-CN"/>
              </w:rPr>
            </w:pPr>
            <w:r>
              <w:rPr>
                <w:rFonts w:hint="eastAsia" w:ascii="宋体" w:cs="宋体"/>
                <w:b/>
                <w:sz w:val="28"/>
                <w:lang w:val="en-US" w:eastAsia="zh-CN"/>
              </w:rPr>
              <w:t>拓展阅读</w:t>
            </w:r>
          </w:p>
        </w:tc>
        <w:tc>
          <w:tcPr>
            <w:tcW w:w="8522" w:type="dxa"/>
            <w:gridSpan w:val="4"/>
            <w:shd w:val="clear" w:color="000000" w:fill="FFFFFF"/>
          </w:tcPr>
          <w:p w14:paraId="1690E4AF">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20年票卡变迁，见证武汉地铁时代轨迹</w:t>
            </w:r>
          </w:p>
          <w:p w14:paraId="42F97539">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1.人工检票伴行</w:t>
            </w:r>
          </w:p>
          <w:p w14:paraId="31855186">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2004年7月28日，武汉地铁首条线路——1号线一期正式开通试运营。列车从宗关站始发，到黄浦路站折返。乘客乘坐地铁需购买纸质票（图2-15），由工作人员现场人工检票后进出站。</w:t>
            </w:r>
          </w:p>
          <w:p w14:paraId="6E72D8F3">
            <w:pPr>
              <w:keepNext w:val="0"/>
              <w:keepLines w:val="0"/>
              <w:pageBreakBefore w:val="0"/>
              <w:widowControl w:val="0"/>
              <w:kinsoku/>
              <w:wordWrap/>
              <w:overflowPunct/>
              <w:topLinePunct w:val="0"/>
              <w:autoSpaceDE/>
              <w:autoSpaceDN/>
              <w:bidi w:val="0"/>
              <w:adjustRightInd/>
              <w:snapToGrid/>
              <w:spacing w:line="360" w:lineRule="auto"/>
              <w:ind w:right="482"/>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drawing>
                <wp:inline distT="0" distB="0" distL="114300" distR="114300">
                  <wp:extent cx="3074035" cy="1858010"/>
                  <wp:effectExtent l="0" t="0" r="12065" b="8890"/>
                  <wp:docPr id="3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4"/>
                          <pic:cNvPicPr>
                            <a:picLocks noChangeAspect="1"/>
                          </pic:cNvPicPr>
                        </pic:nvPicPr>
                        <pic:blipFill>
                          <a:blip r:embed="rId8"/>
                          <a:stretch>
                            <a:fillRect/>
                          </a:stretch>
                        </pic:blipFill>
                        <pic:spPr>
                          <a:xfrm>
                            <a:off x="0" y="0"/>
                            <a:ext cx="3074035" cy="1858010"/>
                          </a:xfrm>
                          <a:prstGeom prst="rect">
                            <a:avLst/>
                          </a:prstGeom>
                          <a:noFill/>
                          <a:ln>
                            <a:noFill/>
                          </a:ln>
                        </pic:spPr>
                      </pic:pic>
                    </a:graphicData>
                  </a:graphic>
                </wp:inline>
              </w:drawing>
            </w:r>
          </w:p>
          <w:p w14:paraId="72A2A56E">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图2-15纸质票</w:t>
            </w:r>
          </w:p>
          <w:p w14:paraId="38F2AD12">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2.自动售检票启动</w:t>
            </w:r>
          </w:p>
          <w:p w14:paraId="007B9F2F">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2005年7月28日，武汉地铁自动售检票系统投入使用，乘客可自助购买单程票，进闸刷卡、出闸回收。2010年7月28日，武汉地铁单程票版面调整（图2-16），调整后的版面沿用至今。</w:t>
            </w:r>
          </w:p>
          <w:p w14:paraId="3EE87E0E">
            <w:pPr>
              <w:keepNext w:val="0"/>
              <w:keepLines w:val="0"/>
              <w:pageBreakBefore w:val="0"/>
              <w:widowControl w:val="0"/>
              <w:kinsoku/>
              <w:wordWrap/>
              <w:overflowPunct/>
              <w:topLinePunct w:val="0"/>
              <w:autoSpaceDE/>
              <w:autoSpaceDN/>
              <w:bidi w:val="0"/>
              <w:adjustRightInd/>
              <w:snapToGrid/>
              <w:spacing w:line="360" w:lineRule="auto"/>
              <w:ind w:right="482"/>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drawing>
                <wp:inline distT="0" distB="0" distL="114300" distR="114300">
                  <wp:extent cx="3061335" cy="1482725"/>
                  <wp:effectExtent l="0" t="0" r="5715" b="3175"/>
                  <wp:docPr id="3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5"/>
                          <pic:cNvPicPr>
                            <a:picLocks noChangeAspect="1"/>
                          </pic:cNvPicPr>
                        </pic:nvPicPr>
                        <pic:blipFill>
                          <a:blip r:embed="rId9"/>
                          <a:stretch>
                            <a:fillRect/>
                          </a:stretch>
                        </pic:blipFill>
                        <pic:spPr>
                          <a:xfrm>
                            <a:off x="0" y="0"/>
                            <a:ext cx="3061335" cy="1482725"/>
                          </a:xfrm>
                          <a:prstGeom prst="rect">
                            <a:avLst/>
                          </a:prstGeom>
                          <a:noFill/>
                          <a:ln>
                            <a:noFill/>
                          </a:ln>
                        </pic:spPr>
                      </pic:pic>
                    </a:graphicData>
                  </a:graphic>
                </wp:inline>
              </w:drawing>
            </w:r>
          </w:p>
          <w:p w14:paraId="490E7C8B">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图2-16单程票</w:t>
            </w:r>
          </w:p>
          <w:p w14:paraId="67B01D5A">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3.移动支付登场</w:t>
            </w:r>
          </w:p>
          <w:p w14:paraId="7F019FAE">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2017年12月26日，武汉地铁开通NFC安卓手机亮屏过闸（图2-17）和手机扫码购票服务。乘客在未携带现金的情况下，可通过移动支付乘坐地铁。</w:t>
            </w:r>
          </w:p>
          <w:p w14:paraId="2E08D1F0">
            <w:pPr>
              <w:keepNext w:val="0"/>
              <w:keepLines w:val="0"/>
              <w:pageBreakBefore w:val="0"/>
              <w:widowControl w:val="0"/>
              <w:kinsoku/>
              <w:wordWrap/>
              <w:overflowPunct/>
              <w:topLinePunct w:val="0"/>
              <w:autoSpaceDE/>
              <w:autoSpaceDN/>
              <w:bidi w:val="0"/>
              <w:adjustRightInd/>
              <w:snapToGrid/>
              <w:spacing w:line="360" w:lineRule="auto"/>
              <w:ind w:right="482" w:firstLine="0" w:firstLineChars="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drawing>
                <wp:inline distT="0" distB="0" distL="114300" distR="114300">
                  <wp:extent cx="1600835" cy="2858135"/>
                  <wp:effectExtent l="0" t="0" r="18415" b="18415"/>
                  <wp:docPr id="3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6"/>
                          <pic:cNvPicPr>
                            <a:picLocks noChangeAspect="1"/>
                          </pic:cNvPicPr>
                        </pic:nvPicPr>
                        <pic:blipFill>
                          <a:blip r:embed="rId10"/>
                          <a:stretch>
                            <a:fillRect/>
                          </a:stretch>
                        </pic:blipFill>
                        <pic:spPr>
                          <a:xfrm>
                            <a:off x="0" y="0"/>
                            <a:ext cx="1600835" cy="2858135"/>
                          </a:xfrm>
                          <a:prstGeom prst="rect">
                            <a:avLst/>
                          </a:prstGeom>
                          <a:noFill/>
                          <a:ln>
                            <a:noFill/>
                          </a:ln>
                        </pic:spPr>
                      </pic:pic>
                    </a:graphicData>
                  </a:graphic>
                </wp:inline>
              </w:drawing>
            </w:r>
          </w:p>
          <w:p w14:paraId="10DAA5B1">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图2-17 NFC安卓手机亮屏过闸</w:t>
            </w:r>
          </w:p>
          <w:p w14:paraId="00FED6CE">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4.扫码过闸畅行</w:t>
            </w:r>
          </w:p>
          <w:p w14:paraId="1B07D905">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2018年10月1日，武汉地铁完成线网2进2出的二维码闸机改造，实现“Metro新时代”APP（图2-18）扫码过闸。同年12月28日，线网所有闸机实现二维码过闸应用。</w:t>
            </w:r>
          </w:p>
          <w:p w14:paraId="19A69B2F">
            <w:pPr>
              <w:keepNext w:val="0"/>
              <w:keepLines w:val="0"/>
              <w:pageBreakBefore w:val="0"/>
              <w:widowControl w:val="0"/>
              <w:kinsoku/>
              <w:wordWrap/>
              <w:overflowPunct/>
              <w:topLinePunct w:val="0"/>
              <w:autoSpaceDE/>
              <w:autoSpaceDN/>
              <w:bidi w:val="0"/>
              <w:adjustRightInd/>
              <w:snapToGrid/>
              <w:spacing w:line="360" w:lineRule="auto"/>
              <w:ind w:right="482" w:firstLine="0" w:firstLineChars="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drawing>
                <wp:inline distT="0" distB="0" distL="114300" distR="114300">
                  <wp:extent cx="1314450" cy="2454910"/>
                  <wp:effectExtent l="0" t="0" r="0" b="2540"/>
                  <wp:docPr id="3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7"/>
                          <pic:cNvPicPr>
                            <a:picLocks noChangeAspect="1"/>
                          </pic:cNvPicPr>
                        </pic:nvPicPr>
                        <pic:blipFill>
                          <a:blip r:embed="rId11"/>
                          <a:stretch>
                            <a:fillRect/>
                          </a:stretch>
                        </pic:blipFill>
                        <pic:spPr>
                          <a:xfrm>
                            <a:off x="0" y="0"/>
                            <a:ext cx="1314450" cy="2454910"/>
                          </a:xfrm>
                          <a:prstGeom prst="rect">
                            <a:avLst/>
                          </a:prstGeom>
                          <a:noFill/>
                          <a:ln>
                            <a:noFill/>
                          </a:ln>
                        </pic:spPr>
                      </pic:pic>
                    </a:graphicData>
                  </a:graphic>
                </wp:inline>
              </w:drawing>
            </w:r>
          </w:p>
          <w:p w14:paraId="2F190B67">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图2-18“Metro新时代”APP</w:t>
            </w:r>
          </w:p>
          <w:p w14:paraId="71EB4F60">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5.多元扫码启航</w:t>
            </w:r>
          </w:p>
          <w:p w14:paraId="33789618">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2021年5月30日，武汉地铁联合支付宝、微信、云闪付等第三方支付机构，全面升</w:t>
            </w:r>
            <w:r>
              <w:rPr>
                <w:rFonts w:hint="eastAsia" w:ascii="宋体" w:hAnsi="宋体" w:cs="宋体"/>
                <w:sz w:val="24"/>
                <w:szCs w:val="24"/>
                <w:lang w:val="en-US" w:eastAsia="zh-CN"/>
              </w:rPr>
              <w:t>级改造线网互联网售检票系统和网络，</w:t>
            </w:r>
            <w:r>
              <w:rPr>
                <w:rFonts w:hint="default" w:ascii="宋体" w:hAnsi="宋体" w:cs="宋体"/>
                <w:sz w:val="24"/>
                <w:szCs w:val="24"/>
                <w:lang w:val="en-US" w:eastAsia="zh-CN"/>
              </w:rPr>
              <w:t>开启地铁出行多元扫码过闸业务，如图2-19所示。</w:t>
            </w:r>
          </w:p>
          <w:p w14:paraId="2C854F2D">
            <w:pPr>
              <w:keepNext w:val="0"/>
              <w:keepLines w:val="0"/>
              <w:pageBreakBefore w:val="0"/>
              <w:widowControl w:val="0"/>
              <w:kinsoku/>
              <w:wordWrap/>
              <w:overflowPunct/>
              <w:topLinePunct w:val="0"/>
              <w:autoSpaceDE/>
              <w:autoSpaceDN/>
              <w:bidi w:val="0"/>
              <w:adjustRightInd/>
              <w:snapToGrid/>
              <w:spacing w:line="360" w:lineRule="auto"/>
              <w:ind w:right="482"/>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drawing>
                <wp:inline distT="0" distB="0" distL="114300" distR="114300">
                  <wp:extent cx="3697605" cy="2451100"/>
                  <wp:effectExtent l="0" t="0" r="17145" b="6350"/>
                  <wp:docPr id="3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8"/>
                          <pic:cNvPicPr>
                            <a:picLocks noChangeAspect="1"/>
                          </pic:cNvPicPr>
                        </pic:nvPicPr>
                        <pic:blipFill>
                          <a:blip r:embed="rId12"/>
                          <a:stretch>
                            <a:fillRect/>
                          </a:stretch>
                        </pic:blipFill>
                        <pic:spPr>
                          <a:xfrm>
                            <a:off x="0" y="0"/>
                            <a:ext cx="3697605" cy="2451100"/>
                          </a:xfrm>
                          <a:prstGeom prst="rect">
                            <a:avLst/>
                          </a:prstGeom>
                          <a:noFill/>
                          <a:ln>
                            <a:noFill/>
                          </a:ln>
                        </pic:spPr>
                      </pic:pic>
                    </a:graphicData>
                  </a:graphic>
                </wp:inline>
              </w:drawing>
            </w:r>
          </w:p>
          <w:p w14:paraId="7B455AA3">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jc w:val="center"/>
              <w:textAlignment w:val="auto"/>
              <w:rPr>
                <w:rFonts w:hint="eastAsia" w:ascii="宋体" w:hAnsi="宋体" w:cs="宋体"/>
                <w:sz w:val="24"/>
                <w:szCs w:val="24"/>
                <w:lang w:val="en-US" w:eastAsia="zh-CN"/>
              </w:rPr>
            </w:pPr>
            <w:r>
              <w:rPr>
                <w:rFonts w:hint="eastAsia" w:ascii="宋体" w:hAnsi="宋体" w:cs="宋体"/>
                <w:sz w:val="24"/>
                <w:szCs w:val="24"/>
                <w:lang w:val="en-US" w:eastAsia="zh-CN"/>
              </w:rPr>
              <w:t>图2-19地铁出行多元扫码过闸</w:t>
            </w:r>
          </w:p>
          <w:p w14:paraId="01C39063">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eastAsia" w:ascii="宋体" w:hAnsi="宋体" w:cs="宋体"/>
                <w:sz w:val="24"/>
                <w:szCs w:val="24"/>
                <w:lang w:val="en-US" w:eastAsia="zh-CN"/>
              </w:rPr>
              <w:t>6.多元支付迈进</w:t>
            </w:r>
          </w:p>
          <w:p w14:paraId="28ABDC1C">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目前，武汉地铁已建立多元化支付体系：</w:t>
            </w:r>
          </w:p>
          <w:p w14:paraId="67383C42">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①支持单程票、武汉通卡、实体定期票等多票种刷卡过闸。</w:t>
            </w:r>
          </w:p>
          <w:p w14:paraId="077B1187">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②支持电子定期票刷码过闸。</w:t>
            </w:r>
          </w:p>
          <w:p w14:paraId="58ECD87D">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③支持支付宝、微信、云闪付等主流支付APP，“Metro新时代”地铁APP、“i武汉”政务微信小程序、“我的武汉通”APP、招商银行等11家银行，共计17款APP扫码过闸。</w:t>
            </w:r>
          </w:p>
          <w:p w14:paraId="7EFD37AA">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④支持银联闪付过闸，乘客可使用带有闪付功能的银行卡、穿戴设备、APPle</w:t>
            </w:r>
            <w:r>
              <w:rPr>
                <w:rFonts w:hint="eastAsia" w:ascii="宋体" w:hAnsi="宋体" w:cs="宋体"/>
                <w:sz w:val="24"/>
                <w:szCs w:val="24"/>
                <w:lang w:val="en-US" w:eastAsia="zh-CN"/>
              </w:rPr>
              <w:t xml:space="preserve"> </w:t>
            </w:r>
            <w:r>
              <w:rPr>
                <w:rFonts w:hint="default" w:ascii="宋体" w:hAnsi="宋体" w:cs="宋体"/>
                <w:sz w:val="24"/>
                <w:szCs w:val="24"/>
                <w:lang w:val="en-US" w:eastAsia="zh-CN"/>
              </w:rPr>
              <w:t>Pay、华为Pay、小米Pay等过闸乘车。</w:t>
            </w:r>
          </w:p>
          <w:p w14:paraId="481EE1C8">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⑤开通多个城市间地铁扫码过闸互通业务，与上海“Metro大都会”APP、城轨易行平台实现互联互通。</w:t>
            </w:r>
          </w:p>
          <w:p w14:paraId="6BAA9858">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ascii="宋体" w:hAnsi="宋体" w:cs="宋体"/>
                <w:sz w:val="24"/>
                <w:szCs w:val="24"/>
                <w:lang w:val="en-US" w:eastAsia="zh-CN"/>
              </w:rPr>
            </w:pPr>
            <w:r>
              <w:rPr>
                <w:rFonts w:hint="default" w:ascii="宋体" w:hAnsi="宋体" w:cs="宋体"/>
                <w:sz w:val="24"/>
                <w:szCs w:val="24"/>
                <w:lang w:val="en-US" w:eastAsia="zh-CN"/>
              </w:rPr>
              <w:t>⑥支持交通枢纽站支持外币卡POS机购票，以及接入全国一卡通互联互通卡，极大方便了市民乘客跨域出行。</w:t>
            </w:r>
          </w:p>
          <w:p w14:paraId="2D6A60CF">
            <w:pPr>
              <w:keepNext w:val="0"/>
              <w:keepLines w:val="0"/>
              <w:pageBreakBefore w:val="0"/>
              <w:widowControl w:val="0"/>
              <w:kinsoku/>
              <w:wordWrap/>
              <w:overflowPunct/>
              <w:topLinePunct w:val="0"/>
              <w:autoSpaceDE/>
              <w:autoSpaceDN/>
              <w:bidi w:val="0"/>
              <w:adjustRightInd/>
              <w:snapToGrid/>
              <w:spacing w:line="360" w:lineRule="auto"/>
              <w:ind w:right="482" w:firstLine="480" w:firstLineChars="200"/>
              <w:textAlignment w:val="auto"/>
              <w:rPr>
                <w:rFonts w:hint="eastAsia"/>
                <w:lang w:eastAsia="zh-CN"/>
              </w:rPr>
            </w:pPr>
            <w:r>
              <w:rPr>
                <w:rFonts w:hint="default" w:ascii="宋体" w:hAnsi="宋体" w:cs="宋体"/>
                <w:sz w:val="24"/>
                <w:szCs w:val="24"/>
                <w:lang w:val="en-US" w:eastAsia="zh-CN"/>
              </w:rPr>
              <w:t>（来源于：武汉地铁运营的微博）</w:t>
            </w:r>
          </w:p>
        </w:tc>
      </w:tr>
      <w:tr w14:paraId="3B099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05937F3D">
            <w:r>
              <w:rPr>
                <w:rFonts w:hint="eastAsia" w:ascii="宋体" w:cs="宋体"/>
                <w:b/>
                <w:sz w:val="28"/>
              </w:rPr>
              <w:t>板书设计</w:t>
            </w:r>
          </w:p>
        </w:tc>
        <w:tc>
          <w:tcPr>
            <w:tcW w:w="8522" w:type="dxa"/>
            <w:gridSpan w:val="4"/>
            <w:shd w:val="clear" w:color="000000" w:fill="FFFFFF"/>
          </w:tcPr>
          <w:p w14:paraId="0684F94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szCs w:val="24"/>
              </w:rPr>
            </w:pPr>
            <w:r>
              <w:rPr>
                <w:rFonts w:hint="eastAsia" w:ascii="Times New Roman" w:hAnsi="Times New Roman"/>
                <w:sz w:val="24"/>
                <w:szCs w:val="24"/>
              </w:rPr>
              <w:t>模块</w:t>
            </w:r>
            <w:r>
              <w:rPr>
                <w:rFonts w:hint="eastAsia" w:ascii="Times New Roman" w:hAnsi="Times New Roman"/>
                <w:sz w:val="24"/>
                <w:szCs w:val="24"/>
                <w:lang w:val="en-US" w:eastAsia="zh-CN"/>
              </w:rPr>
              <w:t xml:space="preserve">二  </w:t>
            </w:r>
            <w:r>
              <w:rPr>
                <w:rFonts w:hint="eastAsia" w:ascii="Times New Roman" w:hAnsi="Times New Roman"/>
                <w:sz w:val="24"/>
                <w:szCs w:val="24"/>
              </w:rPr>
              <w:t>课题</w:t>
            </w:r>
            <w:r>
              <w:rPr>
                <w:rFonts w:hint="eastAsia" w:ascii="Times New Roman" w:hAnsi="Times New Roman"/>
                <w:sz w:val="24"/>
                <w:szCs w:val="24"/>
                <w:lang w:val="en-US" w:eastAsia="zh-CN"/>
              </w:rPr>
              <w:t xml:space="preserve">二  </w:t>
            </w:r>
            <w:r>
              <w:rPr>
                <w:rFonts w:hint="eastAsia" w:ascii="Times New Roman" w:hAnsi="Times New Roman"/>
                <w:sz w:val="24"/>
                <w:szCs w:val="24"/>
              </w:rPr>
              <w:t>票务政策</w:t>
            </w:r>
          </w:p>
          <w:p w14:paraId="365C5337">
            <w:pPr>
              <w:keepNext w:val="0"/>
              <w:keepLines w:val="0"/>
              <w:pageBreakBefore w:val="0"/>
              <w:widowControl w:val="0"/>
              <w:kinsoku/>
              <w:wordWrap/>
              <w:overflowPunct/>
              <w:topLinePunct w:val="0"/>
              <w:autoSpaceDE/>
              <w:autoSpaceDN/>
              <w:bidi w:val="0"/>
              <w:adjustRightInd/>
              <w:snapToGrid/>
              <w:spacing w:line="360" w:lineRule="auto"/>
              <w:textAlignment w:val="auto"/>
              <w:rPr>
                <w:rFonts w:cs="Calibri"/>
                <w:sz w:val="24"/>
              </w:rPr>
            </w:pPr>
            <w:r>
              <w:rPr>
                <w:rFonts w:hint="eastAsia" w:ascii="宋体" w:hAnsi="宋体" w:cs="宋体"/>
                <w:sz w:val="24"/>
                <w:szCs w:val="24"/>
              </w:rPr>
              <w:t>（一）车票状态</w:t>
            </w:r>
          </w:p>
          <w:p w14:paraId="0EF13BD3">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sz w:val="24"/>
                <w:szCs w:val="24"/>
                <w:lang w:val="en-US" w:eastAsia="zh-CN"/>
              </w:rPr>
            </w:pPr>
            <w:r>
              <w:rPr>
                <w:rFonts w:ascii="Times New Roman" w:hAnsi="Times New Roman"/>
                <w:sz w:val="24"/>
                <w:szCs w:val="24"/>
              </w:rPr>
              <w:t>1.</w:t>
            </w:r>
            <w:r>
              <w:rPr>
                <w:rFonts w:hint="eastAsia" w:ascii="Times New Roman" w:hAnsi="Times New Roman"/>
                <w:sz w:val="24"/>
                <w:szCs w:val="24"/>
                <w:lang w:val="en-US" w:eastAsia="zh-CN"/>
              </w:rPr>
              <w:t>按车票出入站状态分类</w:t>
            </w:r>
          </w:p>
          <w:p w14:paraId="23D997AF">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2.按是否被发售分类</w:t>
            </w:r>
          </w:p>
          <w:p w14:paraId="7A9DA63A">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（二）票制</w:t>
            </w:r>
          </w:p>
          <w:p w14:paraId="6878CF1F">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w:t>
            </w:r>
            <w:r>
              <w:rPr>
                <w:rFonts w:ascii="Times New Roman" w:hAnsi="Times New Roman"/>
                <w:sz w:val="24"/>
                <w:szCs w:val="24"/>
              </w:rPr>
              <w:t>.</w:t>
            </w:r>
            <w:r>
              <w:rPr>
                <w:rFonts w:hint="eastAsia" w:ascii="Times New Roman" w:hAnsi="Times New Roman"/>
                <w:sz w:val="24"/>
                <w:szCs w:val="24"/>
                <w:lang w:val="en-US" w:eastAsia="zh-CN"/>
              </w:rPr>
              <w:t>基本票价制</w:t>
            </w:r>
          </w:p>
          <w:p w14:paraId="3E3B263C">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（1）单一票价制</w:t>
            </w:r>
          </w:p>
          <w:p w14:paraId="6A174C89">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（2）计程票价制</w:t>
            </w:r>
          </w:p>
          <w:p w14:paraId="0E230B77">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2.辅助票价制</w:t>
            </w:r>
          </w:p>
          <w:p w14:paraId="644420A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（1）计时票价制</w:t>
            </w:r>
          </w:p>
          <w:p w14:paraId="45D0DF8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（2）计次票价制</w:t>
            </w:r>
          </w:p>
          <w:p w14:paraId="1196E12A">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（三）起步距离及起步价</w:t>
            </w:r>
          </w:p>
          <w:p w14:paraId="1F13BEF0">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（四）票价的制定原则</w:t>
            </w:r>
          </w:p>
          <w:p w14:paraId="77281434">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1.公益性原则</w:t>
            </w:r>
          </w:p>
          <w:p w14:paraId="27F5D43C">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2.考虑乘客承受能力原则</w:t>
            </w:r>
          </w:p>
          <w:p w14:paraId="084F0867">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3.比价合理原则</w:t>
            </w:r>
          </w:p>
          <w:p w14:paraId="1860F1F4">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4.可持续性发展原则</w:t>
            </w:r>
          </w:p>
          <w:p w14:paraId="1E0085E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5.递远递减原则</w:t>
            </w:r>
          </w:p>
          <w:p w14:paraId="60AC5BBA">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（五）票价的确定流程</w:t>
            </w:r>
          </w:p>
          <w:p w14:paraId="6448C493">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（六）票务通用政策</w:t>
            </w:r>
          </w:p>
          <w:p w14:paraId="790C2074">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1.车票有效期的规定</w:t>
            </w:r>
          </w:p>
          <w:p w14:paraId="1BF47CBA">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2.限时乘车的规定</w:t>
            </w:r>
          </w:p>
          <w:p w14:paraId="66CDDAD1">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3.超程的规定</w:t>
            </w:r>
          </w:p>
          <w:p w14:paraId="0753F5CE">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4.既超时又超程的规定</w:t>
            </w:r>
          </w:p>
          <w:p w14:paraId="1C45146D">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5.优惠乘车的规定</w:t>
            </w:r>
          </w:p>
          <w:p w14:paraId="30AC1E51">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6.车票数据更新的规定</w:t>
            </w:r>
          </w:p>
          <w:p w14:paraId="77E2B576">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7.无票乘车的规定</w:t>
            </w:r>
          </w:p>
          <w:p w14:paraId="34BBD500">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8.乘客携带品的规定</w:t>
            </w:r>
          </w:p>
          <w:p w14:paraId="4FF86F68">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9.车票回收规定</w:t>
            </w:r>
          </w:p>
          <w:p w14:paraId="11EB8795">
            <w:pPr>
              <w:pStyle w:val="5"/>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cs="Calibri"/>
                <w:sz w:val="24"/>
                <w:lang w:val="en-US" w:eastAsia="zh-CN"/>
              </w:rPr>
            </w:pPr>
            <w:r>
              <w:rPr>
                <w:rFonts w:hint="eastAsia" w:ascii="Times New Roman" w:hAnsi="Times New Roman"/>
                <w:sz w:val="24"/>
                <w:szCs w:val="24"/>
                <w:lang w:val="en-US" w:eastAsia="zh-CN"/>
              </w:rPr>
              <w:t>10.退票规定</w:t>
            </w:r>
          </w:p>
        </w:tc>
      </w:tr>
      <w:tr w14:paraId="1D6B3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79CF90F2">
            <w:r>
              <w:rPr>
                <w:rFonts w:ascii="宋体" w:cs="宋体"/>
                <w:b/>
                <w:sz w:val="28"/>
              </w:rPr>
              <w:t>教学反思</w:t>
            </w:r>
            <w:r>
              <w:rPr>
                <w:rFonts w:hint="eastAsia" w:ascii="宋体" w:cs="宋体"/>
                <w:b/>
                <w:sz w:val="28"/>
              </w:rPr>
              <w:t>（</w:t>
            </w:r>
            <w:r>
              <w:rPr>
                <w:rFonts w:hint="eastAsia" w:ascii="宋体" w:cs="宋体"/>
                <w:b/>
                <w:color w:val="FF0000"/>
                <w:sz w:val="28"/>
              </w:rPr>
              <w:t>手写</w:t>
            </w:r>
            <w:r>
              <w:rPr>
                <w:rFonts w:hint="eastAsia" w:ascii="宋体" w:cs="宋体"/>
                <w:b/>
                <w:sz w:val="28"/>
              </w:rPr>
              <w:t>）</w:t>
            </w:r>
          </w:p>
        </w:tc>
        <w:tc>
          <w:tcPr>
            <w:tcW w:w="8522" w:type="dxa"/>
            <w:gridSpan w:val="4"/>
            <w:shd w:val="clear" w:color="auto" w:fill="FFFFFF" w:themeFill="background1"/>
          </w:tcPr>
          <w:p w14:paraId="2AF894A4"/>
        </w:tc>
      </w:tr>
    </w:tbl>
    <w:p w14:paraId="2807BDF1"/>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C1B4A85"/>
    <w:rsid w:val="001F78C2"/>
    <w:rsid w:val="00C435AA"/>
    <w:rsid w:val="00F52B12"/>
    <w:rsid w:val="0602304B"/>
    <w:rsid w:val="069114AA"/>
    <w:rsid w:val="1C1B4A85"/>
    <w:rsid w:val="2935110A"/>
    <w:rsid w:val="308A799E"/>
    <w:rsid w:val="33396D97"/>
    <w:rsid w:val="34F47329"/>
    <w:rsid w:val="5EA33894"/>
    <w:rsid w:val="5F972637"/>
    <w:rsid w:val="693C6DF1"/>
    <w:rsid w:val="7B726A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Pages>
  <Words>6439</Words>
  <Characters>6672</Characters>
  <Lines>66</Lines>
  <Paragraphs>18</Paragraphs>
  <TotalTime>0</TotalTime>
  <ScaleCrop>false</ScaleCrop>
  <LinksUpToDate>false</LinksUpToDate>
  <CharactersWithSpaces>6682</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2025-05-07T10:12:00Z</dcterms:created>
  <dc:creator>TREASURE</dc:creator>
  <cp:lastModifiedBy>TREASURE</cp:lastModifiedBy>
  <dcterms:modified xsi:type="dcterms:W3CDTF">2025-05-09T06:17:01Z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4F609B29EFCB48CF8ADCF91AB973C6BE_13</vt:lpwstr>
  </property>
  <property fmtid="{D5CDD505-2E9C-101B-9397-08002B2CF9AE}" pid="4" name="KSOTemplateDocerSaveRecord">
    <vt:lpwstr>eyJoZGlkIjoiMjNjZjU1MDBkNjRkNjMxZTZhZDVjMzc0NWEyZDI1OGUiLCJ1c2VySWQiOiI5MzI1MjI1NzkifQ==</vt:lpwstr>
  </property>
</Properties>
</file>